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92" w:lineRule="exact"/>
        <w:ind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附件</w:t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2"/>
        <w:rPr>
          <w:rFonts w:ascii="黑体" w:hAnsi="黑体" w:cs="黑体" w:eastAsia="黑体"/>
          <w:sz w:val="36"/>
          <w:szCs w:val="36"/>
        </w:rPr>
      </w:pPr>
    </w:p>
    <w:p>
      <w:pPr>
        <w:spacing w:line="650" w:lineRule="exact" w:before="0"/>
        <w:ind w:left="751" w:right="755" w:firstLine="4"/>
        <w:jc w:val="center"/>
        <w:rPr>
          <w:rFonts w:ascii="华文中宋" w:hAnsi="华文中宋" w:cs="华文中宋" w:eastAsia="华文中宋"/>
          <w:sz w:val="44"/>
          <w:szCs w:val="44"/>
        </w:rPr>
      </w:pPr>
      <w:r>
        <w:rPr>
          <w:rFonts w:ascii="华文中宋" w:hAnsi="华文中宋" w:cs="华文中宋" w:eastAsia="华文中宋"/>
          <w:sz w:val="44"/>
          <w:szCs w:val="44"/>
        </w:rPr>
        <w:t>资产评估专家指引第 </w:t>
      </w:r>
      <w:r>
        <w:rPr>
          <w:rFonts w:ascii="Times New Roman" w:hAnsi="Times New Roman" w:cs="Times New Roman" w:eastAsia="Times New Roman"/>
          <w:sz w:val="44"/>
          <w:szCs w:val="44"/>
        </w:rPr>
        <w:t>12</w:t>
      </w:r>
      <w:r>
        <w:rPr>
          <w:rFonts w:ascii="Times New Roman" w:hAnsi="Times New Roman" w:cs="Times New Roman" w:eastAsia="Times New Roman"/>
          <w:spacing w:val="-31"/>
          <w:sz w:val="44"/>
          <w:szCs w:val="44"/>
        </w:rPr>
        <w:t> </w:t>
      </w:r>
      <w:r>
        <w:rPr>
          <w:rFonts w:ascii="华文中宋" w:hAnsi="华文中宋" w:cs="华文中宋" w:eastAsia="华文中宋"/>
          <w:sz w:val="44"/>
          <w:szCs w:val="44"/>
        </w:rPr>
        <w:t>号——</w:t>
      </w:r>
      <w:r>
        <w:rPr>
          <w:rFonts w:ascii="华文中宋" w:hAnsi="华文中宋" w:cs="华文中宋" w:eastAsia="华文中宋"/>
          <w:w w:val="99"/>
          <w:sz w:val="44"/>
          <w:szCs w:val="44"/>
        </w:rPr>
        <w:t> </w:t>
      </w:r>
      <w:r>
        <w:rPr>
          <w:rFonts w:ascii="华文中宋" w:hAnsi="华文中宋" w:cs="华文中宋" w:eastAsia="华文中宋"/>
          <w:w w:val="95"/>
          <w:sz w:val="44"/>
          <w:szCs w:val="44"/>
        </w:rPr>
        <w:t>收益法评估企业价值中折现率的测算</w:t>
      </w:r>
      <w:r>
        <w:rPr>
          <w:rFonts w:ascii="华文中宋" w:hAnsi="华文中宋" w:cs="华文中宋" w:eastAsia="华文中宋"/>
          <w:sz w:val="44"/>
          <w:szCs w:val="44"/>
        </w:rPr>
      </w:r>
    </w:p>
    <w:p>
      <w:pPr>
        <w:spacing w:line="240" w:lineRule="auto" w:before="0"/>
        <w:rPr>
          <w:rFonts w:ascii="华文中宋" w:hAnsi="华文中宋" w:cs="华文中宋" w:eastAsia="华文中宋"/>
          <w:sz w:val="44"/>
          <w:szCs w:val="44"/>
        </w:rPr>
      </w:pPr>
    </w:p>
    <w:p>
      <w:pPr>
        <w:spacing w:line="240" w:lineRule="auto" w:before="12"/>
        <w:rPr>
          <w:rFonts w:ascii="华文中宋" w:hAnsi="华文中宋" w:cs="华文中宋" w:eastAsia="华文中宋"/>
          <w:sz w:val="28"/>
          <w:szCs w:val="28"/>
        </w:rPr>
      </w:pPr>
    </w:p>
    <w:p>
      <w:pPr>
        <w:pStyle w:val="BodyText"/>
        <w:spacing w:line="357" w:lineRule="auto"/>
        <w:ind w:right="114" w:firstLine="640"/>
        <w:jc w:val="both"/>
      </w:pPr>
      <w:r>
        <w:rPr>
          <w:w w:val="95"/>
        </w:rPr>
        <w:t>本专家指引是一种专家建议。资产评估机构执行资产评</w:t>
      </w:r>
      <w:r>
        <w:rPr>
          <w:w w:val="99"/>
        </w:rPr>
        <w:t> </w:t>
      </w:r>
      <w:r>
        <w:rPr>
          <w:w w:val="95"/>
        </w:rPr>
        <w:t>估业务，可以参照本专家指引。中国资产评估协会将根据业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/>
        <w:t>务发展，对本专家指引进行更新。</w:t>
      </w:r>
    </w:p>
    <w:p>
      <w:pPr>
        <w:spacing w:line="240" w:lineRule="auto" w:before="3"/>
        <w:rPr>
          <w:rFonts w:ascii="仿宋_GB2312" w:hAnsi="仿宋_GB2312" w:cs="仿宋_GB2312" w:eastAsia="仿宋_GB2312"/>
          <w:sz w:val="35"/>
          <w:szCs w:val="35"/>
        </w:rPr>
      </w:pPr>
    </w:p>
    <w:p>
      <w:pPr>
        <w:pStyle w:val="BodyText"/>
        <w:spacing w:line="240" w:lineRule="auto"/>
        <w:ind w:left="693" w:right="69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第一章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引言</w:t>
      </w:r>
    </w:p>
    <w:p>
      <w:pPr>
        <w:spacing w:line="240" w:lineRule="auto" w:before="9"/>
        <w:rPr>
          <w:rFonts w:ascii="黑体" w:hAnsi="黑体" w:cs="黑体" w:eastAsia="黑体"/>
          <w:sz w:val="31"/>
          <w:szCs w:val="31"/>
        </w:rPr>
      </w:pPr>
    </w:p>
    <w:p>
      <w:pPr>
        <w:pStyle w:val="BodyText"/>
        <w:spacing w:line="357" w:lineRule="auto"/>
        <w:ind w:right="10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第一条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为指导资产评估专业人员在运用收益法评估企</w:t>
      </w:r>
      <w:r>
        <w:rPr>
          <w:spacing w:val="7"/>
          <w:w w:val="99"/>
        </w:rPr>
        <w:t> </w:t>
      </w:r>
      <w:r>
        <w:rPr/>
        <w:t>业价值时合理测算预期收益的折现率，中国资产评估协会组</w:t>
      </w:r>
      <w:r>
        <w:rPr>
          <w:w w:val="99"/>
        </w:rPr>
        <w:t> </w:t>
      </w:r>
      <w:r>
        <w:rPr/>
        <w:t>织制定了本专家指引。</w:t>
      </w:r>
    </w:p>
    <w:p>
      <w:pPr>
        <w:pStyle w:val="BodyText"/>
        <w:spacing w:line="348" w:lineRule="auto" w:before="48"/>
        <w:ind w:right="10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第二条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本专家指引仅针对收益法中运用资本资产定价</w:t>
      </w:r>
      <w:r>
        <w:rPr>
          <w:spacing w:val="7"/>
          <w:w w:val="99"/>
        </w:rPr>
        <w:t> </w:t>
      </w:r>
      <w:r>
        <w:rPr>
          <w:spacing w:val="-10"/>
        </w:rPr>
        <w:t>模型（</w:t>
      </w:r>
      <w:r>
        <w:rPr>
          <w:rFonts w:ascii="Times New Roman" w:hAnsi="Times New Roman" w:cs="Times New Roman" w:eastAsia="Times New Roman"/>
          <w:spacing w:val="-10"/>
        </w:rPr>
        <w:t>CAPM</w:t>
      </w:r>
      <w:r>
        <w:rPr>
          <w:spacing w:val="-10"/>
        </w:rPr>
        <w:t>）、加权平均资本成本（</w:t>
      </w:r>
      <w:r>
        <w:rPr>
          <w:rFonts w:ascii="Times New Roman" w:hAnsi="Times New Roman" w:cs="Times New Roman" w:eastAsia="Times New Roman"/>
          <w:spacing w:val="-10"/>
        </w:rPr>
        <w:t>WACC</w:t>
      </w:r>
      <w:r>
        <w:rPr>
          <w:spacing w:val="-10"/>
        </w:rPr>
        <w:t>）计算折现率所</w:t>
      </w:r>
      <w:r>
        <w:rPr>
          <w:spacing w:val="-152"/>
        </w:rPr>
        <w:t> </w:t>
      </w:r>
      <w:r>
        <w:rPr>
          <w:spacing w:val="-152"/>
        </w:rPr>
      </w:r>
      <w:r>
        <w:rPr/>
        <w:t>涉及的无风险利率、市场风险溢价、贝塔系数、特定风险报</w:t>
      </w:r>
      <w:r>
        <w:rPr>
          <w:w w:val="99"/>
        </w:rPr>
        <w:t> </w:t>
      </w:r>
      <w:r>
        <w:rPr/>
        <w:t>酬率、债权期望报酬率等参数的确定。</w:t>
      </w:r>
      <w:r>
        <w:rPr>
          <w:rFonts w:ascii="Times New Roman" w:hAnsi="Times New Roman" w:cs="Times New Roman" w:eastAsia="Times New Roman"/>
        </w:rPr>
        <w:t>CAPM</w:t>
      </w:r>
      <w:r>
        <w:rPr/>
        <w:t>、</w:t>
      </w:r>
      <w:r>
        <w:rPr>
          <w:rFonts w:ascii="Times New Roman" w:hAnsi="Times New Roman" w:cs="Times New Roman" w:eastAsia="Times New Roman"/>
        </w:rPr>
        <w:t>WACC</w:t>
      </w:r>
      <w:r>
        <w:rPr>
          <w:rFonts w:ascii="Times New Roman" w:hAnsi="Times New Roman" w:cs="Times New Roman" w:eastAsia="Times New Roman"/>
          <w:spacing w:val="-32"/>
        </w:rPr>
        <w:t> </w:t>
      </w:r>
      <w:r>
        <w:rPr/>
        <w:t>的公</w:t>
      </w:r>
      <w:r>
        <w:rPr>
          <w:w w:val="99"/>
        </w:rPr>
        <w:t> </w:t>
      </w:r>
      <w:r>
        <w:rPr/>
        <w:t>式分别表示如下：</w:t>
      </w:r>
    </w:p>
    <w:p>
      <w:pPr>
        <w:spacing w:line="714" w:lineRule="exact" w:before="0"/>
        <w:ind w:left="693" w:right="699" w:firstLine="0"/>
        <w:jc w:val="center"/>
        <w:rPr>
          <w:rFonts w:ascii="Cambria Math" w:hAnsi="Cambria Math" w:cs="Cambria Math" w:eastAsia="Cambria Math"/>
          <w:sz w:val="32"/>
          <w:szCs w:val="32"/>
        </w:rPr>
      </w:pPr>
      <w:r>
        <w:rPr>
          <w:rFonts w:ascii="Cambria Math" w:hAnsi="Cambria Math" w:cs="Cambria Math" w:eastAsia="Cambria Math"/>
          <w:spacing w:val="-4"/>
          <w:sz w:val="32"/>
          <w:szCs w:val="32"/>
        </w:rPr>
        <w:t>𝑅</w:t>
      </w:r>
      <w:r>
        <w:rPr>
          <w:rFonts w:ascii="Cambria Math" w:hAnsi="Cambria Math" w:cs="Cambria Math" w:eastAsia="Cambria Math"/>
          <w:spacing w:val="-4"/>
          <w:position w:val="-5"/>
          <w:sz w:val="23"/>
          <w:szCs w:val="23"/>
        </w:rPr>
        <w:t>�  </w:t>
      </w:r>
      <w:r>
        <w:rPr>
          <w:rFonts w:ascii="Cambria Math" w:hAnsi="Cambria Math" w:cs="Cambria Math" w:eastAsia="Cambria Math"/>
          <w:sz w:val="32"/>
          <w:szCs w:val="32"/>
        </w:rPr>
        <w:t>= </w:t>
      </w:r>
      <w:r>
        <w:rPr>
          <w:rFonts w:ascii="Cambria Math" w:hAnsi="Cambria Math" w:cs="Cambria Math" w:eastAsia="Cambria Math"/>
          <w:spacing w:val="-17"/>
          <w:sz w:val="32"/>
          <w:szCs w:val="32"/>
        </w:rPr>
        <w:t>𝑅</w:t>
      </w:r>
      <w:r>
        <w:rPr>
          <w:rFonts w:ascii="Cambria Math" w:hAnsi="Cambria Math" w:cs="Cambria Math" w:eastAsia="Cambria Math"/>
          <w:spacing w:val="-17"/>
          <w:position w:val="-5"/>
          <w:sz w:val="23"/>
          <w:szCs w:val="23"/>
        </w:rPr>
        <w:t>�   </w:t>
      </w:r>
      <w:r>
        <w:rPr>
          <w:rFonts w:ascii="Cambria Math" w:hAnsi="Cambria Math" w:cs="Cambria Math" w:eastAsia="Cambria Math"/>
          <w:sz w:val="32"/>
          <w:szCs w:val="32"/>
        </w:rPr>
        <w:t>+ 𝛽 × </w:t>
      </w:r>
      <w:r>
        <w:rPr>
          <w:rFonts w:ascii="Cambria Math" w:hAnsi="Cambria Math" w:cs="Cambria Math" w:eastAsia="Cambria Math"/>
          <w:spacing w:val="-3"/>
          <w:sz w:val="32"/>
          <w:szCs w:val="32"/>
        </w:rPr>
        <w:t>(𝑅</w:t>
      </w:r>
      <w:r>
        <w:rPr>
          <w:rFonts w:ascii="Cambria Math" w:hAnsi="Cambria Math" w:cs="Cambria Math" w:eastAsia="Cambria Math"/>
          <w:spacing w:val="-3"/>
          <w:position w:val="-5"/>
          <w:sz w:val="23"/>
          <w:szCs w:val="23"/>
        </w:rPr>
        <w:t>𝑚  </w:t>
      </w:r>
      <w:r>
        <w:rPr>
          <w:rFonts w:ascii="Cambria Math" w:hAnsi="Cambria Math" w:cs="Cambria Math" w:eastAsia="Cambria Math"/>
          <w:sz w:val="32"/>
          <w:szCs w:val="32"/>
        </w:rPr>
        <w:t>− </w:t>
      </w:r>
      <w:r>
        <w:rPr>
          <w:rFonts w:ascii="Cambria Math" w:hAnsi="Cambria Math" w:cs="Cambria Math" w:eastAsia="Cambria Math"/>
          <w:spacing w:val="-17"/>
          <w:sz w:val="32"/>
          <w:szCs w:val="32"/>
        </w:rPr>
        <w:t>𝑅</w:t>
      </w:r>
      <w:r>
        <w:rPr>
          <w:rFonts w:ascii="Cambria Math" w:hAnsi="Cambria Math" w:cs="Cambria Math" w:eastAsia="Cambria Math"/>
          <w:spacing w:val="-17"/>
          <w:position w:val="-5"/>
          <w:sz w:val="23"/>
          <w:szCs w:val="23"/>
        </w:rPr>
        <w:t>� </w:t>
      </w:r>
      <w:r>
        <w:rPr>
          <w:rFonts w:ascii="Cambria Math" w:hAnsi="Cambria Math" w:cs="Cambria Math" w:eastAsia="Cambria Math"/>
          <w:sz w:val="32"/>
          <w:szCs w:val="32"/>
        </w:rPr>
        <w:t>) +</w:t>
      </w:r>
      <w:r>
        <w:rPr>
          <w:rFonts w:ascii="Cambria Math" w:hAnsi="Cambria Math" w:cs="Cambria Math" w:eastAsia="Cambria Math"/>
          <w:spacing w:val="-14"/>
          <w:sz w:val="32"/>
          <w:szCs w:val="32"/>
        </w:rPr>
        <w:t> </w:t>
      </w:r>
      <w:r>
        <w:rPr>
          <w:rFonts w:ascii="Cambria Math" w:hAnsi="Cambria Math" w:cs="Cambria Math" w:eastAsia="Cambria Math"/>
          <w:sz w:val="32"/>
          <w:szCs w:val="32"/>
        </w:rPr>
        <w:t>𝜀</w:t>
      </w:r>
    </w:p>
    <w:p>
      <w:pPr>
        <w:pStyle w:val="BodyText"/>
        <w:tabs>
          <w:tab w:pos="7035" w:val="left" w:leader="none"/>
        </w:tabs>
        <w:spacing w:line="227" w:lineRule="exact"/>
        <w:ind w:left="510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</w:rPr>
        <w:t>�</w:t>
        <w:tab/>
        <w:t>�</w:t>
      </w:r>
    </w:p>
    <w:p>
      <w:pPr>
        <w:pStyle w:val="BodyText"/>
        <w:spacing w:line="1142" w:lineRule="exact"/>
        <w:ind w:left="996" w:right="0"/>
        <w:jc w:val="left"/>
        <w:rPr>
          <w:rFonts w:ascii="Cambria Math" w:hAnsi="Cambria Math" w:cs="Cambria Math" w:eastAsia="Cambria Math"/>
        </w:rPr>
      </w:pPr>
      <w:r>
        <w:rPr/>
        <w:pict>
          <v:group style="position:absolute;margin-left:324.429993pt;margin-top:9.215625pt;width:41.3pt;height:.1pt;mso-position-horizontal-relative:page;mso-position-vertical-relative:paragraph;z-index:-5512" coordorigin="6489,184" coordsize="826,2">
            <v:shape style="position:absolute;left:6489;top:184;width:826;height:2" coordorigin="6489,184" coordsize="826,0" path="m6489,184l7314,184e" filled="false" stroked="true" strokeweight="1.08pt" strokecolor="#000000">
              <v:path arrowok="t"/>
            </v:shape>
            <w10:wrap type="none"/>
          </v:group>
        </w:pict>
      </w:r>
      <w:r>
        <w:rPr/>
        <w:pict>
          <v:group style="position:absolute;margin-left:420.429993pt;margin-top:9.215625pt;width:41.35pt;height:.1pt;mso-position-horizontal-relative:page;mso-position-vertical-relative:paragraph;z-index:-5488" coordorigin="8409,184" coordsize="827,2">
            <v:shape style="position:absolute;left:8409;top:184;width:827;height:2" coordorigin="8409,184" coordsize="827,0" path="m8409,184l9235,184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</w:rPr>
        <w:t>𝑊𝐴�� = </w:t>
      </w:r>
      <w:r>
        <w:rPr>
          <w:rFonts w:ascii="Cambria Math" w:hAnsi="Cambria Math" w:cs="Cambria Math" w:eastAsia="Cambria Math"/>
          <w:spacing w:val="-4"/>
        </w:rPr>
        <w:t>𝑅</w:t>
      </w:r>
      <w:r>
        <w:rPr>
          <w:rFonts w:ascii="Cambria Math" w:hAnsi="Cambria Math" w:cs="Cambria Math" w:eastAsia="Cambria Math"/>
          <w:spacing w:val="-4"/>
          <w:position w:val="-5"/>
          <w:sz w:val="23"/>
          <w:szCs w:val="23"/>
        </w:rPr>
        <w:t>� </w:t>
      </w:r>
      <w:r>
        <w:rPr>
          <w:rFonts w:ascii="Cambria Math" w:hAnsi="Cambria Math" w:cs="Cambria Math" w:eastAsia="Cambria Math"/>
        </w:rPr>
        <w:t>× </w:t>
      </w:r>
      <w:r>
        <w:rPr/>
        <w:t>（</w:t>
      </w:r>
      <w:r>
        <w:rPr>
          <w:rFonts w:ascii="Cambria Math" w:hAnsi="Cambria Math" w:cs="Cambria Math" w:eastAsia="Cambria Math"/>
        </w:rPr>
        <w:t>1 − 𝑇</w:t>
      </w:r>
      <w:r>
        <w:rPr/>
        <w:t>） </w:t>
      </w:r>
      <w:r>
        <w:rPr>
          <w:rFonts w:ascii="Cambria Math" w:hAnsi="Cambria Math" w:cs="Cambria Math" w:eastAsia="Cambria Math"/>
        </w:rPr>
        <w:t>× </w:t>
      </w:r>
      <w:r>
        <w:rPr>
          <w:rFonts w:ascii="Cambria Math" w:hAnsi="Cambria Math" w:cs="Cambria Math" w:eastAsia="Cambria Math"/>
          <w:position w:val="-21"/>
        </w:rPr>
        <w:t>� + �</w:t>
      </w:r>
      <w:r>
        <w:rPr>
          <w:rFonts w:ascii="Cambria Math" w:hAnsi="Cambria Math" w:cs="Cambria Math" w:eastAsia="Cambria Math"/>
          <w:spacing w:val="-20"/>
          <w:position w:val="-21"/>
        </w:rPr>
        <w:t> </w:t>
      </w:r>
      <w:r>
        <w:rPr>
          <w:rFonts w:ascii="Cambria Math" w:hAnsi="Cambria Math" w:cs="Cambria Math" w:eastAsia="Cambria Math"/>
        </w:rPr>
        <w:t>+ </w:t>
      </w:r>
      <w:r>
        <w:rPr>
          <w:rFonts w:ascii="Cambria Math" w:hAnsi="Cambria Math" w:cs="Cambria Math" w:eastAsia="Cambria Math"/>
          <w:spacing w:val="-4"/>
        </w:rPr>
        <w:t>𝑅</w:t>
      </w:r>
      <w:r>
        <w:rPr>
          <w:rFonts w:ascii="Cambria Math" w:hAnsi="Cambria Math" w:cs="Cambria Math" w:eastAsia="Cambria Math"/>
          <w:spacing w:val="-4"/>
          <w:position w:val="-5"/>
          <w:sz w:val="23"/>
          <w:szCs w:val="23"/>
        </w:rPr>
        <w:t>�  </w:t>
      </w:r>
      <w:r>
        <w:rPr>
          <w:rFonts w:ascii="Cambria Math" w:hAnsi="Cambria Math" w:cs="Cambria Math" w:eastAsia="Cambria Math"/>
        </w:rPr>
        <w:t>× </w:t>
      </w:r>
      <w:r>
        <w:rPr>
          <w:rFonts w:ascii="Cambria Math" w:hAnsi="Cambria Math" w:cs="Cambria Math" w:eastAsia="Cambria Math"/>
          <w:position w:val="-21"/>
        </w:rPr>
        <w:t>� +</w:t>
      </w:r>
      <w:r>
        <w:rPr>
          <w:rFonts w:ascii="Cambria Math" w:hAnsi="Cambria Math" w:cs="Cambria Math" w:eastAsia="Cambria Math"/>
          <w:spacing w:val="-33"/>
          <w:position w:val="-21"/>
        </w:rPr>
        <w:t> </w:t>
      </w:r>
      <w:r>
        <w:rPr>
          <w:rFonts w:ascii="Cambria Math" w:hAnsi="Cambria Math" w:cs="Cambria Math" w:eastAsia="Cambria Math"/>
          <w:position w:val="-21"/>
        </w:rPr>
        <w:t>�</w:t>
      </w:r>
      <w:r>
        <w:rPr>
          <w:rFonts w:ascii="Cambria Math" w:hAnsi="Cambria Math" w:cs="Cambria Math" w:eastAsia="Cambria Math"/>
        </w:rPr>
      </w:r>
    </w:p>
    <w:p>
      <w:pPr>
        <w:spacing w:after="0" w:line="1142" w:lineRule="exact"/>
        <w:jc w:val="left"/>
        <w:rPr>
          <w:rFonts w:ascii="Cambria Math" w:hAnsi="Cambria Math" w:cs="Cambria Math" w:eastAsia="Cambria Math"/>
        </w:rPr>
        <w:sectPr>
          <w:footerReference w:type="default" r:id="rId5"/>
          <w:footerReference w:type="even" r:id="rId6"/>
          <w:type w:val="continuous"/>
          <w:pgSz w:w="11910" w:h="16840"/>
          <w:pgMar w:footer="1114" w:top="1500" w:bottom="1520" w:left="1680" w:right="1680"/>
          <w:pgNumType w:start="3"/>
        </w:sectPr>
      </w:pPr>
    </w:p>
    <w:p>
      <w:pPr>
        <w:pStyle w:val="BodyText"/>
        <w:spacing w:line="86" w:lineRule="auto" w:before="4"/>
        <w:ind w:right="433" w:firstLine="640"/>
        <w:jc w:val="both"/>
      </w:pPr>
      <w:r>
        <w:rPr>
          <w:rFonts w:ascii="Cambria Math" w:hAnsi="Cambria Math" w:cs="Cambria Math" w:eastAsia="Cambria Math"/>
        </w:rPr>
        <w:t>𝑅</w:t>
      </w:r>
      <w:r>
        <w:rPr>
          <w:rFonts w:ascii="Cambria Math" w:hAnsi="Cambria Math" w:cs="Cambria Math" w:eastAsia="Cambria Math"/>
          <w:position w:val="-5"/>
          <w:sz w:val="23"/>
          <w:szCs w:val="23"/>
        </w:rPr>
        <w:t>�</w:t>
      </w:r>
      <w:r>
        <w:rPr/>
        <w:t>表示股权期望报酬率，</w:t>
      </w:r>
      <w:r>
        <w:rPr>
          <w:rFonts w:ascii="Cambria Math" w:hAnsi="Cambria Math" w:cs="Cambria Math" w:eastAsia="Cambria Math"/>
        </w:rPr>
        <w:t>𝑅</w:t>
      </w:r>
      <w:r>
        <w:rPr>
          <w:rFonts w:ascii="Cambria Math" w:hAnsi="Cambria Math" w:cs="Cambria Math" w:eastAsia="Cambria Math"/>
          <w:position w:val="-5"/>
          <w:sz w:val="23"/>
          <w:szCs w:val="23"/>
        </w:rPr>
        <w:t>�</w:t>
      </w:r>
      <w:r>
        <w:rPr/>
        <w:t>表示无风险利率，</w:t>
      </w:r>
      <w:r>
        <w:rPr>
          <w:spacing w:val="-90"/>
        </w:rPr>
        <w:t> </w:t>
      </w:r>
      <w:r>
        <w:rPr>
          <w:rFonts w:ascii="Cambria Math" w:hAnsi="Cambria Math" w:cs="Cambria Math" w:eastAsia="Cambria Math"/>
          <w:spacing w:val="4"/>
        </w:rPr>
        <w:t>𝛽</w:t>
      </w:r>
      <w:r>
        <w:rPr>
          <w:spacing w:val="4"/>
        </w:rPr>
        <w:t>表示股 </w:t>
      </w:r>
      <w:r>
        <w:rPr/>
        <w:t>权系统性风险调整系数，</w:t>
      </w:r>
      <w:r>
        <w:rPr>
          <w:rFonts w:ascii="Cambria Math" w:hAnsi="Cambria Math" w:cs="Cambria Math" w:eastAsia="Cambria Math"/>
        </w:rPr>
        <w:t>(𝑅</w:t>
      </w:r>
      <w:r>
        <w:rPr>
          <w:rFonts w:ascii="Cambria Math" w:hAnsi="Cambria Math" w:cs="Cambria Math" w:eastAsia="Cambria Math"/>
          <w:position w:val="-5"/>
          <w:sz w:val="23"/>
          <w:szCs w:val="23"/>
        </w:rPr>
        <w:t>𝑚 </w:t>
      </w:r>
      <w:r>
        <w:rPr>
          <w:rFonts w:ascii="Cambria Math" w:hAnsi="Cambria Math" w:cs="Cambria Math" w:eastAsia="Cambria Math"/>
        </w:rPr>
        <w:t>−</w:t>
      </w:r>
      <w:r>
        <w:rPr>
          <w:rFonts w:ascii="Cambria Math" w:hAnsi="Cambria Math" w:cs="Cambria Math" w:eastAsia="Cambria Math"/>
          <w:spacing w:val="-19"/>
        </w:rPr>
        <w:t> </w:t>
      </w:r>
      <w:r>
        <w:rPr>
          <w:rFonts w:ascii="Cambria Math" w:hAnsi="Cambria Math" w:cs="Cambria Math" w:eastAsia="Cambria Math"/>
          <w:spacing w:val="-16"/>
        </w:rPr>
        <w:t>𝑅</w:t>
      </w:r>
      <w:r>
        <w:rPr>
          <w:rFonts w:ascii="Cambria Math" w:hAnsi="Cambria Math" w:cs="Cambria Math" w:eastAsia="Cambria Math"/>
          <w:spacing w:val="-16"/>
          <w:position w:val="-5"/>
          <w:sz w:val="23"/>
          <w:szCs w:val="23"/>
        </w:rPr>
        <w:t>�</w:t>
      </w:r>
      <w:r>
        <w:rPr>
          <w:rFonts w:ascii="Cambria Math" w:hAnsi="Cambria Math" w:cs="Cambria Math" w:eastAsia="Cambria Math"/>
          <w:spacing w:val="-29"/>
          <w:position w:val="-5"/>
          <w:sz w:val="23"/>
          <w:szCs w:val="23"/>
        </w:rPr>
        <w:t> </w:t>
      </w:r>
      <w:r>
        <w:rPr>
          <w:rFonts w:ascii="Cambria Math" w:hAnsi="Cambria Math" w:cs="Cambria Math" w:eastAsia="Cambria Math"/>
        </w:rPr>
        <w:t>)</w:t>
      </w:r>
      <w:r>
        <w:rPr/>
        <w:t>表示市场风险溢价，</w:t>
      </w:r>
      <w:r>
        <w:rPr>
          <w:rFonts w:ascii="Times New Roman" w:hAnsi="Times New Roman" w:cs="Times New Roman" w:eastAsia="Times New Roman"/>
          <w:i/>
        </w:rPr>
        <w:t>ε </w:t>
      </w:r>
      <w:r>
        <w:rPr/>
        <w:t>表</w:t>
      </w:r>
      <w:r>
        <w:rPr>
          <w:spacing w:val="-8"/>
        </w:rPr>
        <w:t> </w:t>
      </w:r>
      <w:r>
        <w:rPr>
          <w:spacing w:val="-3"/>
        </w:rPr>
        <w:t>示特定风险报酬率，</w:t>
      </w:r>
      <w:r>
        <w:rPr>
          <w:rFonts w:ascii="Cambria Math" w:hAnsi="Cambria Math" w:cs="Cambria Math" w:eastAsia="Cambria Math"/>
          <w:spacing w:val="-3"/>
        </w:rPr>
        <w:t>𝑅</w:t>
      </w:r>
      <w:r>
        <w:rPr>
          <w:rFonts w:ascii="Cambria Math" w:hAnsi="Cambria Math" w:cs="Cambria Math" w:eastAsia="Cambria Math"/>
          <w:spacing w:val="-3"/>
          <w:position w:val="-5"/>
          <w:sz w:val="23"/>
          <w:szCs w:val="23"/>
        </w:rPr>
        <w:t>�</w:t>
      </w:r>
      <w:r>
        <w:rPr>
          <w:rFonts w:ascii="Cambria Math" w:hAnsi="Cambria Math" w:cs="Cambria Math" w:eastAsia="Cambria Math"/>
          <w:spacing w:val="-30"/>
          <w:position w:val="-5"/>
          <w:sz w:val="23"/>
          <w:szCs w:val="23"/>
        </w:rPr>
        <w:t> </w:t>
      </w:r>
      <w:r>
        <w:rPr/>
        <w:t>表示债权期望报酬率，</w:t>
      </w:r>
      <w:r>
        <w:rPr>
          <w:rFonts w:ascii="Times New Roman" w:hAnsi="Times New Roman" w:cs="Times New Roman" w:eastAsia="Times New Roman"/>
          <w:i/>
        </w:rPr>
        <w:t>D</w:t>
      </w:r>
      <w:r>
        <w:rPr>
          <w:rFonts w:ascii="Times New Roman" w:hAnsi="Times New Roman" w:cs="Times New Roman" w:eastAsia="Times New Roman"/>
          <w:i/>
          <w:spacing w:val="-25"/>
        </w:rPr>
        <w:t> </w:t>
      </w:r>
      <w:r>
        <w:rPr/>
        <w:t>表示债权价</w:t>
      </w:r>
    </w:p>
    <w:p>
      <w:pPr>
        <w:pStyle w:val="BodyText"/>
        <w:spacing w:line="409" w:lineRule="exact"/>
        <w:ind w:right="0"/>
        <w:jc w:val="left"/>
      </w:pPr>
      <w:r>
        <w:rPr/>
        <w:t>值，</w:t>
      </w:r>
      <w:r>
        <w:rPr>
          <w:rFonts w:ascii="Times New Roman" w:hAnsi="Times New Roman" w:cs="Times New Roman" w:eastAsia="Times New Roman"/>
          <w:i/>
        </w:rPr>
        <w:t>E </w:t>
      </w:r>
      <w:r>
        <w:rPr/>
        <w:t>表示股权价值，</w:t>
      </w:r>
      <w:r>
        <w:rPr>
          <w:rFonts w:ascii="Times New Roman" w:hAnsi="Times New Roman" w:cs="Times New Roman" w:eastAsia="Times New Roman"/>
          <w:i/>
        </w:rPr>
        <w:t>T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/>
        <w:t>表示所得税税率。</w:t>
      </w:r>
    </w:p>
    <w:p>
      <w:pPr>
        <w:pStyle w:val="BodyText"/>
        <w:spacing w:line="357" w:lineRule="auto" w:before="178"/>
        <w:ind w:right="42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第三条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采用风险累加法等其他方法计算折现率，涉及</w:t>
      </w:r>
      <w:r>
        <w:rPr>
          <w:spacing w:val="7"/>
          <w:w w:val="99"/>
        </w:rPr>
        <w:t> </w:t>
      </w:r>
      <w:r>
        <w:rPr/>
        <w:t>相同参数的测算时可以参照本专家指引。</w:t>
      </w:r>
    </w:p>
    <w:p>
      <w:pPr>
        <w:spacing w:line="240" w:lineRule="auto" w:before="6"/>
        <w:rPr>
          <w:rFonts w:ascii="仿宋_GB2312" w:hAnsi="仿宋_GB2312" w:cs="仿宋_GB2312" w:eastAsia="仿宋_GB2312"/>
          <w:sz w:val="35"/>
          <w:szCs w:val="35"/>
        </w:rPr>
      </w:pPr>
    </w:p>
    <w:p>
      <w:pPr>
        <w:pStyle w:val="BodyText"/>
        <w:spacing w:line="240" w:lineRule="auto"/>
        <w:ind w:left="2734" w:right="305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第二章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基本遵循</w:t>
      </w:r>
    </w:p>
    <w:p>
      <w:pPr>
        <w:spacing w:line="240" w:lineRule="auto" w:before="8"/>
        <w:rPr>
          <w:rFonts w:ascii="黑体" w:hAnsi="黑体" w:cs="黑体" w:eastAsia="黑体"/>
          <w:sz w:val="31"/>
          <w:szCs w:val="31"/>
        </w:rPr>
      </w:pPr>
    </w:p>
    <w:p>
      <w:pPr>
        <w:pStyle w:val="BodyText"/>
        <w:spacing w:line="357" w:lineRule="auto"/>
        <w:ind w:right="42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第四条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资产评估机构应当研究确定内部统一的折现率</w:t>
      </w:r>
      <w:r>
        <w:rPr>
          <w:spacing w:val="7"/>
          <w:w w:val="99"/>
        </w:rPr>
        <w:t> </w:t>
      </w:r>
      <w:r>
        <w:rPr/>
        <w:t>测算原则与方法，并在执业过程中保持折现率测算原则与方</w:t>
      </w:r>
      <w:r>
        <w:rPr>
          <w:w w:val="99"/>
        </w:rPr>
        <w:t> </w:t>
      </w:r>
      <w:r>
        <w:rPr/>
        <w:t>法的一致性。</w:t>
      </w:r>
    </w:p>
    <w:p>
      <w:pPr>
        <w:pStyle w:val="BodyText"/>
        <w:spacing w:line="355" w:lineRule="auto" w:before="46"/>
        <w:ind w:right="42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第五条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执行资产减值测试等延续性评估项目，需要关</w:t>
      </w:r>
      <w:r>
        <w:rPr>
          <w:spacing w:val="7"/>
          <w:w w:val="99"/>
        </w:rPr>
        <w:t> </w:t>
      </w:r>
      <w:r>
        <w:rPr/>
        <w:t>注不同评估基准日折现率测算的合理性。</w:t>
      </w:r>
    </w:p>
    <w:p>
      <w:pPr>
        <w:pStyle w:val="BodyText"/>
        <w:spacing w:line="355" w:lineRule="auto" w:before="51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  <w:spacing w:val="5"/>
        </w:rPr>
        <w:t>第六条</w:t>
      </w:r>
      <w:r>
        <w:rPr>
          <w:rFonts w:ascii="仿宋_GB2312" w:hAnsi="仿宋_GB2312" w:cs="仿宋_GB2312" w:eastAsia="仿宋_GB2312"/>
          <w:b/>
          <w:bCs/>
          <w:spacing w:val="6"/>
        </w:rPr>
        <w:t> </w:t>
      </w:r>
      <w:r>
        <w:rPr>
          <w:spacing w:val="7"/>
        </w:rPr>
        <w:t>资产评估专业人员需要关注折现率口径与预期</w:t>
      </w:r>
      <w:r>
        <w:rPr>
          <w:spacing w:val="7"/>
          <w:w w:val="99"/>
        </w:rPr>
        <w:t> </w:t>
      </w:r>
      <w:r>
        <w:rPr>
          <w:w w:val="95"/>
        </w:rPr>
        <w:t>收益口径的一致性，以及折现率计算公式中各参数的一致性。</w:t>
      </w:r>
      <w:r>
        <w:rPr/>
      </w:r>
    </w:p>
    <w:p>
      <w:pPr>
        <w:spacing w:line="240" w:lineRule="auto" w:before="7"/>
        <w:rPr>
          <w:rFonts w:ascii="仿宋_GB2312" w:hAnsi="仿宋_GB2312" w:cs="仿宋_GB2312" w:eastAsia="仿宋_GB2312"/>
          <w:sz w:val="35"/>
          <w:szCs w:val="35"/>
        </w:rPr>
      </w:pPr>
    </w:p>
    <w:p>
      <w:pPr>
        <w:pStyle w:val="BodyText"/>
        <w:spacing w:line="240" w:lineRule="auto"/>
        <w:ind w:left="2736" w:right="305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第三章</w:t>
      </w:r>
      <w:r>
        <w:rPr>
          <w:rFonts w:ascii="黑体" w:hAnsi="黑体" w:cs="黑体" w:eastAsia="黑体"/>
          <w:spacing w:val="-3"/>
        </w:rPr>
        <w:t> </w:t>
      </w:r>
      <w:r>
        <w:rPr>
          <w:rFonts w:ascii="黑体" w:hAnsi="黑体" w:cs="黑体" w:eastAsia="黑体"/>
        </w:rPr>
        <w:t>无风险利率</w:t>
      </w:r>
    </w:p>
    <w:p>
      <w:pPr>
        <w:spacing w:line="240" w:lineRule="auto" w:before="8"/>
        <w:rPr>
          <w:rFonts w:ascii="黑体" w:hAnsi="黑体" w:cs="黑体" w:eastAsia="黑体"/>
          <w:sz w:val="31"/>
          <w:szCs w:val="31"/>
        </w:rPr>
      </w:pPr>
    </w:p>
    <w:p>
      <w:pPr>
        <w:pStyle w:val="BodyText"/>
        <w:spacing w:line="357" w:lineRule="auto"/>
        <w:ind w:right="42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第七条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无风险利率是指投资者投资无风险资产的期望</w:t>
      </w:r>
      <w:r>
        <w:rPr>
          <w:spacing w:val="7"/>
          <w:w w:val="99"/>
        </w:rPr>
        <w:t> </w:t>
      </w:r>
      <w:r>
        <w:rPr/>
        <w:t>报酬率，该无风险资产不存在违约风险。</w:t>
      </w:r>
    </w:p>
    <w:p>
      <w:pPr>
        <w:pStyle w:val="BodyText"/>
        <w:spacing w:line="357" w:lineRule="auto" w:before="46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  <w:spacing w:val="5"/>
        </w:rPr>
        <w:t>第八条 </w:t>
      </w:r>
      <w:r>
        <w:rPr>
          <w:spacing w:val="6"/>
        </w:rPr>
        <w:t>无风险利率通常可以用国债的到期收益率表示，</w:t>
      </w:r>
      <w:r>
        <w:rPr>
          <w:spacing w:val="7"/>
          <w:w w:val="99"/>
        </w:rPr>
        <w:t> </w:t>
      </w:r>
      <w:r>
        <w:rPr>
          <w:spacing w:val="12"/>
        </w:rPr>
        <w:t>选择国债时应当考虑其剩余到期年限与企业现金流时间期</w:t>
      </w:r>
      <w:r>
        <w:rPr>
          <w:w w:val="99"/>
        </w:rPr>
        <w:t> </w:t>
      </w:r>
      <w:r>
        <w:rPr/>
        <w:t>限的匹配性。</w:t>
      </w:r>
    </w:p>
    <w:p>
      <w:pPr>
        <w:spacing w:after="0" w:line="357" w:lineRule="auto"/>
        <w:jc w:val="left"/>
        <w:sectPr>
          <w:pgSz w:w="11910" w:h="16840"/>
          <w:pgMar w:header="0" w:footer="1333" w:top="1380" w:bottom="1300" w:left="1680" w:right="1360"/>
        </w:sectPr>
      </w:pPr>
    </w:p>
    <w:p>
      <w:pPr>
        <w:pStyle w:val="BodyText"/>
        <w:spacing w:line="357" w:lineRule="auto"/>
        <w:ind w:right="42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第九条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持续经营假设前提下的企业价值评估可以采用</w:t>
      </w:r>
      <w:r>
        <w:rPr>
          <w:spacing w:val="7"/>
          <w:w w:val="99"/>
        </w:rPr>
        <w:t> </w:t>
      </w:r>
      <w:r>
        <w:rPr>
          <w:spacing w:val="12"/>
        </w:rPr>
        <w:t>剩余期限为十年期或十年期以上国债的到期收益率作为无</w:t>
      </w:r>
      <w:r>
        <w:rPr>
          <w:w w:val="99"/>
        </w:rPr>
        <w:t> </w:t>
      </w:r>
      <w:r>
        <w:rPr/>
        <w:t>风险利率。</w:t>
      </w:r>
    </w:p>
    <w:p>
      <w:pPr>
        <w:spacing w:line="240" w:lineRule="auto" w:before="3"/>
        <w:rPr>
          <w:rFonts w:ascii="仿宋_GB2312" w:hAnsi="仿宋_GB2312" w:cs="仿宋_GB2312" w:eastAsia="仿宋_GB2312"/>
          <w:sz w:val="35"/>
          <w:szCs w:val="35"/>
        </w:rPr>
      </w:pPr>
    </w:p>
    <w:p>
      <w:pPr>
        <w:pStyle w:val="BodyText"/>
        <w:spacing w:line="240" w:lineRule="auto"/>
        <w:ind w:left="2736" w:right="305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第四章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市场风险溢价</w:t>
      </w:r>
    </w:p>
    <w:p>
      <w:pPr>
        <w:spacing w:line="240" w:lineRule="auto" w:before="8"/>
        <w:rPr>
          <w:rFonts w:ascii="黑体" w:hAnsi="黑体" w:cs="黑体" w:eastAsia="黑体"/>
          <w:sz w:val="31"/>
          <w:szCs w:val="31"/>
        </w:rPr>
      </w:pPr>
    </w:p>
    <w:p>
      <w:pPr>
        <w:pStyle w:val="BodyText"/>
        <w:spacing w:line="357" w:lineRule="auto"/>
        <w:ind w:right="425" w:firstLine="643"/>
        <w:jc w:val="both"/>
      </w:pPr>
      <w:r>
        <w:rPr>
          <w:rFonts w:ascii="仿宋_GB2312" w:hAnsi="仿宋_GB2312" w:cs="仿宋_GB2312" w:eastAsia="仿宋_GB2312"/>
          <w:b/>
          <w:bCs/>
          <w:spacing w:val="5"/>
        </w:rPr>
        <w:t>第十条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7"/>
        </w:rPr>
        <w:t>市场风险溢价是指投资者对与整体市场平均风</w:t>
      </w:r>
      <w:r>
        <w:rPr>
          <w:spacing w:val="7"/>
          <w:w w:val="99"/>
        </w:rPr>
        <w:t> </w:t>
      </w:r>
      <w:r>
        <w:rPr/>
        <w:t>险相同的股权投资所要求的预期超额收益，即超过无风险利</w:t>
      </w:r>
      <w:r>
        <w:rPr>
          <w:w w:val="99"/>
        </w:rPr>
        <w:t> </w:t>
      </w:r>
      <w:r>
        <w:rPr/>
        <w:t>率的风险补偿。市场风险溢价通常可以利用市场的历史风险</w:t>
      </w:r>
      <w:r>
        <w:rPr>
          <w:w w:val="99"/>
        </w:rPr>
        <w:t> </w:t>
      </w:r>
      <w:r>
        <w:rPr/>
        <w:t>溢价数据进行测算。</w:t>
      </w:r>
    </w:p>
    <w:p>
      <w:pPr>
        <w:pStyle w:val="BodyText"/>
        <w:spacing w:line="355" w:lineRule="auto" w:before="48"/>
        <w:ind w:right="426" w:firstLine="643"/>
        <w:jc w:val="both"/>
      </w:pPr>
      <w:r>
        <w:rPr>
          <w:rFonts w:ascii="仿宋_GB2312" w:hAnsi="仿宋_GB2312" w:cs="仿宋_GB2312" w:eastAsia="仿宋_GB2312"/>
          <w:b/>
          <w:bCs/>
          <w:spacing w:val="6"/>
        </w:rPr>
        <w:t>第十一条</w:t>
      </w:r>
      <w:r>
        <w:rPr>
          <w:rFonts w:ascii="仿宋_GB2312" w:hAnsi="仿宋_GB2312" w:cs="仿宋_GB2312" w:eastAsia="仿宋_GB2312"/>
          <w:b/>
          <w:bCs/>
          <w:spacing w:val="-9"/>
        </w:rPr>
        <w:t> </w:t>
      </w:r>
      <w:r>
        <w:rPr>
          <w:spacing w:val="7"/>
        </w:rPr>
        <w:t>中国市场风险溢价一般可以通过下列几种途</w:t>
      </w:r>
      <w:r>
        <w:rPr>
          <w:spacing w:val="7"/>
          <w:w w:val="99"/>
        </w:rPr>
        <w:t> </w:t>
      </w:r>
      <w:r>
        <w:rPr/>
        <w:t>径确定：</w:t>
      </w:r>
    </w:p>
    <w:p>
      <w:pPr>
        <w:pStyle w:val="BodyText"/>
        <w:spacing w:line="357" w:lineRule="auto" w:before="49"/>
        <w:ind w:right="436" w:firstLine="640"/>
        <w:jc w:val="both"/>
      </w:pPr>
      <w:r>
        <w:rPr>
          <w:w w:val="95"/>
        </w:rPr>
        <w:t>（一）利用中国的证券市场指数的历史风险溢价数据计</w:t>
      </w:r>
      <w:r>
        <w:rPr>
          <w:w w:val="99"/>
        </w:rPr>
        <w:t> </w:t>
      </w:r>
      <w:r>
        <w:rPr/>
        <w:t>算；</w:t>
      </w:r>
    </w:p>
    <w:p>
      <w:pPr>
        <w:pStyle w:val="BodyText"/>
        <w:spacing w:line="240" w:lineRule="auto" w:before="46"/>
        <w:ind w:left="758" w:right="0"/>
        <w:jc w:val="left"/>
      </w:pPr>
      <w:r>
        <w:rPr/>
        <w:t>（二）采用其他成熟资本市场风险溢价调整方法；</w:t>
      </w:r>
    </w:p>
    <w:p>
      <w:pPr>
        <w:pStyle w:val="BodyText"/>
        <w:spacing w:line="357" w:lineRule="auto" w:before="203"/>
        <w:ind w:left="761" w:right="0" w:hanging="3"/>
        <w:jc w:val="left"/>
      </w:pPr>
      <w:r>
        <w:rPr>
          <w:w w:val="95"/>
        </w:rPr>
        <w:t>（三）引用相关专家学者或者专业机构研究发布的数据。</w:t>
      </w:r>
      <w:r>
        <w:rPr>
          <w:spacing w:val="81"/>
          <w:w w:val="95"/>
        </w:rPr>
        <w:t> </w:t>
      </w:r>
      <w:r>
        <w:rPr>
          <w:spacing w:val="81"/>
          <w:w w:val="95"/>
        </w:rPr>
      </w:r>
      <w:r>
        <w:rPr>
          <w:rFonts w:ascii="仿宋_GB2312" w:hAnsi="仿宋_GB2312" w:cs="仿宋_GB2312" w:eastAsia="仿宋_GB2312"/>
          <w:b/>
          <w:bCs/>
          <w:spacing w:val="6"/>
        </w:rPr>
        <w:t>第十二条</w:t>
      </w:r>
      <w:r>
        <w:rPr>
          <w:rFonts w:ascii="仿宋_GB2312" w:hAnsi="仿宋_GB2312" w:cs="仿宋_GB2312" w:eastAsia="仿宋_GB2312"/>
          <w:b/>
          <w:bCs/>
          <w:spacing w:val="-10"/>
        </w:rPr>
        <w:t> </w:t>
      </w:r>
      <w:r>
        <w:rPr>
          <w:spacing w:val="7"/>
        </w:rPr>
        <w:t>利用中国的证券市场指数计算市场风险溢价</w:t>
      </w:r>
      <w:r>
        <w:rPr/>
      </w:r>
    </w:p>
    <w:p>
      <w:pPr>
        <w:pStyle w:val="BodyText"/>
        <w:spacing w:line="343" w:lineRule="auto" w:before="46"/>
        <w:ind w:right="434"/>
        <w:jc w:val="both"/>
      </w:pPr>
      <w:r>
        <w:rPr/>
        <w:t>时，通常选择有代表性的指数，例如沪深</w:t>
      </w:r>
      <w:r>
        <w:rPr>
          <w:spacing w:val="-86"/>
        </w:rPr>
        <w:t> </w:t>
      </w:r>
      <w:r>
        <w:rPr>
          <w:rFonts w:ascii="Times New Roman" w:hAnsi="Times New Roman" w:cs="Times New Roman" w:eastAsia="Times New Roman"/>
        </w:rPr>
        <w:t>300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指数、上海证</w:t>
      </w:r>
      <w:r>
        <w:rPr>
          <w:w w:val="99"/>
        </w:rPr>
        <w:t> </w:t>
      </w:r>
      <w:r>
        <w:rPr>
          <w:w w:val="95"/>
        </w:rPr>
        <w:t>券综合指数等，计算指数一段历史时间内的超额收益率，时</w:t>
      </w:r>
      <w:r>
        <w:rPr>
          <w:spacing w:val="99"/>
          <w:w w:val="95"/>
        </w:rPr>
        <w:t> </w:t>
      </w:r>
      <w:r>
        <w:rPr>
          <w:spacing w:val="99"/>
          <w:w w:val="95"/>
        </w:rPr>
      </w:r>
      <w:r>
        <w:rPr/>
        <w:t>间跨度可以选择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/>
        <w:t>年以上、数据频率可以选择周数据或者</w:t>
      </w:r>
      <w:r>
        <w:rPr>
          <w:w w:val="99"/>
        </w:rPr>
        <w:t> </w:t>
      </w:r>
      <w:r>
        <w:rPr/>
        <w:t>月数据、计算方法可以采取算术平均或者几何平均。</w:t>
      </w:r>
    </w:p>
    <w:p>
      <w:pPr>
        <w:pStyle w:val="BodyText"/>
        <w:spacing w:line="357" w:lineRule="auto" w:before="67"/>
        <w:ind w:right="426" w:firstLine="643"/>
        <w:jc w:val="both"/>
      </w:pPr>
      <w:r>
        <w:rPr>
          <w:rFonts w:ascii="仿宋_GB2312" w:hAnsi="仿宋_GB2312" w:cs="仿宋_GB2312" w:eastAsia="仿宋_GB2312"/>
          <w:b/>
          <w:bCs/>
          <w:spacing w:val="6"/>
        </w:rPr>
        <w:t>第十三条</w:t>
      </w:r>
      <w:r>
        <w:rPr>
          <w:rFonts w:ascii="仿宋_GB2312" w:hAnsi="仿宋_GB2312" w:cs="仿宋_GB2312" w:eastAsia="仿宋_GB2312"/>
          <w:b/>
          <w:bCs/>
          <w:spacing w:val="-9"/>
        </w:rPr>
        <w:t> </w:t>
      </w:r>
      <w:r>
        <w:rPr>
          <w:spacing w:val="7"/>
        </w:rPr>
        <w:t>采用其他成熟资本市场风险溢价调整方法是</w:t>
      </w:r>
      <w:r>
        <w:rPr>
          <w:spacing w:val="7"/>
          <w:w w:val="99"/>
        </w:rPr>
        <w:t> </w:t>
      </w:r>
      <w:r>
        <w:rPr>
          <w:w w:val="95"/>
        </w:rPr>
        <w:t>在其他成熟资本市场风险溢价的基础上，考虑中国国家风险</w:t>
      </w:r>
      <w:r>
        <w:rPr/>
      </w:r>
    </w:p>
    <w:p>
      <w:pPr>
        <w:spacing w:after="0" w:line="357" w:lineRule="auto"/>
        <w:jc w:val="both"/>
        <w:sectPr>
          <w:pgSz w:w="11910" w:h="16840"/>
          <w:pgMar w:header="0" w:footer="1114" w:top="1380" w:bottom="1520" w:left="1680" w:right="1360"/>
        </w:sectPr>
      </w:pPr>
    </w:p>
    <w:p>
      <w:pPr>
        <w:pStyle w:val="BodyText"/>
        <w:spacing w:line="409" w:lineRule="exact"/>
        <w:ind w:right="0"/>
        <w:jc w:val="left"/>
      </w:pPr>
      <w:r>
        <w:rPr/>
        <w:t>补偿得到中国市场风险溢价，基本计算公式可以表示为：</w:t>
      </w:r>
    </w:p>
    <w:p>
      <w:pPr>
        <w:spacing w:line="240" w:lineRule="auto" w:before="13"/>
        <w:rPr>
          <w:rFonts w:ascii="仿宋_GB2312" w:hAnsi="仿宋_GB2312" w:cs="仿宋_GB2312" w:eastAsia="仿宋_GB2312"/>
          <w:sz w:val="17"/>
          <w:szCs w:val="17"/>
        </w:rPr>
      </w:pPr>
    </w:p>
    <w:p>
      <w:pPr>
        <w:spacing w:after="0" w:line="240" w:lineRule="auto"/>
        <w:rPr>
          <w:rFonts w:ascii="仿宋_GB2312" w:hAnsi="仿宋_GB2312" w:cs="仿宋_GB2312" w:eastAsia="仿宋_GB2312"/>
          <w:sz w:val="17"/>
          <w:szCs w:val="17"/>
        </w:rPr>
        <w:sectPr>
          <w:pgSz w:w="11910" w:h="16840"/>
          <w:pgMar w:header="0" w:footer="1333" w:top="1380" w:bottom="1300" w:left="1680" w:right="1680"/>
        </w:sectPr>
      </w:pPr>
    </w:p>
    <w:p>
      <w:pPr>
        <w:spacing w:line="286" w:lineRule="exact" w:before="14"/>
        <w:ind w:left="298" w:right="0" w:firstLine="0"/>
        <w:jc w:val="left"/>
        <w:rPr>
          <w:rFonts w:ascii="仿宋_GB2312" w:hAnsi="仿宋_GB2312" w:cs="仿宋_GB2312" w:eastAsia="仿宋_GB2312"/>
          <w:sz w:val="28"/>
          <w:szCs w:val="28"/>
        </w:rPr>
      </w:pPr>
      <w:r>
        <w:rPr>
          <w:rFonts w:ascii="仿宋_GB2312" w:hAnsi="仿宋_GB2312" w:cs="仿宋_GB2312" w:eastAsia="仿宋_GB2312"/>
          <w:spacing w:val="-3"/>
          <w:sz w:val="28"/>
          <w:szCs w:val="28"/>
        </w:rPr>
        <w:t>市场风险溢价</w:t>
      </w:r>
    </w:p>
    <w:p>
      <w:pPr>
        <w:spacing w:line="195" w:lineRule="exact" w:before="0"/>
        <w:ind w:left="0" w:right="0" w:firstLine="0"/>
        <w:jc w:val="right"/>
        <w:rPr>
          <w:rFonts w:ascii="仿宋_GB2312" w:hAnsi="仿宋_GB2312" w:cs="仿宋_GB2312" w:eastAsia="仿宋_GB2312"/>
          <w:sz w:val="21"/>
          <w:szCs w:val="21"/>
        </w:rPr>
      </w:pPr>
      <w:r>
        <w:rPr>
          <w:rFonts w:ascii="仿宋_GB2312" w:hAnsi="仿宋_GB2312" w:cs="仿宋_GB2312" w:eastAsia="仿宋_GB2312"/>
          <w:i/>
          <w:spacing w:val="-4"/>
          <w:w w:val="95"/>
          <w:sz w:val="21"/>
          <w:szCs w:val="21"/>
        </w:rPr>
        <w:t>中国</w:t>
      </w:r>
      <w:r>
        <w:rPr>
          <w:rFonts w:ascii="仿宋_GB2312" w:hAnsi="仿宋_GB2312" w:cs="仿宋_GB2312" w:eastAsia="仿宋_GB2312"/>
          <w:sz w:val="21"/>
          <w:szCs w:val="21"/>
        </w:rPr>
      </w:r>
    </w:p>
    <w:p>
      <w:pPr>
        <w:spacing w:line="286" w:lineRule="exact" w:before="14"/>
        <w:ind w:left="337" w:right="0" w:firstLine="0"/>
        <w:jc w:val="left"/>
        <w:rPr>
          <w:rFonts w:ascii="仿宋_GB2312" w:hAnsi="仿宋_GB2312" w:cs="仿宋_GB2312" w:eastAsia="仿宋_GB2312"/>
          <w:sz w:val="28"/>
          <w:szCs w:val="28"/>
        </w:rPr>
      </w:pPr>
      <w:r>
        <w:rPr>
          <w:spacing w:val="-3"/>
        </w:rPr>
        <w:br w:type="column"/>
      </w:r>
      <w:r>
        <w:rPr>
          <w:rFonts w:ascii="仿宋_GB2312" w:hAnsi="仿宋_GB2312" w:cs="仿宋_GB2312" w:eastAsia="仿宋_GB2312"/>
          <w:spacing w:val="-3"/>
          <w:sz w:val="28"/>
          <w:szCs w:val="28"/>
        </w:rPr>
        <w:t>市场风险溢价</w:t>
      </w:r>
    </w:p>
    <w:p>
      <w:pPr>
        <w:spacing w:line="195" w:lineRule="exact" w:before="0"/>
        <w:ind w:left="2007" w:right="0" w:firstLine="0"/>
        <w:jc w:val="left"/>
        <w:rPr>
          <w:rFonts w:ascii="仿宋_GB2312" w:hAnsi="仿宋_GB2312" w:cs="仿宋_GB2312" w:eastAsia="仿宋_GB2312"/>
          <w:sz w:val="21"/>
          <w:szCs w:val="21"/>
        </w:rPr>
      </w:pPr>
      <w:r>
        <w:rPr/>
        <w:pict>
          <v:shape style="position:absolute;margin-left:206.570007pt;margin-top:-9.351903pt;width:10.5pt;height:14.0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28"/>
                      <w:szCs w:val="28"/>
                    </w:rPr>
                  </w:pPr>
                  <w:r>
                    <w:rPr>
                      <w:rFonts w:ascii="Cambria Math"/>
                      <w:w w:val="100"/>
                      <w:sz w:val="28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仿宋_GB2312" w:hAnsi="仿宋_GB2312" w:cs="仿宋_GB2312" w:eastAsia="仿宋_GB2312"/>
          <w:i/>
          <w:spacing w:val="-2"/>
          <w:w w:val="95"/>
          <w:sz w:val="21"/>
          <w:szCs w:val="21"/>
        </w:rPr>
        <w:t>其他成熟资本市场</w:t>
      </w:r>
      <w:r>
        <w:rPr>
          <w:rFonts w:ascii="仿宋_GB2312" w:hAnsi="仿宋_GB2312" w:cs="仿宋_GB2312" w:eastAsia="仿宋_GB2312"/>
          <w:spacing w:val="-2"/>
          <w:sz w:val="21"/>
          <w:szCs w:val="21"/>
        </w:rPr>
      </w:r>
    </w:p>
    <w:p>
      <w:pPr>
        <w:spacing w:line="737" w:lineRule="exact" w:before="0"/>
        <w:ind w:left="32" w:right="0" w:firstLine="0"/>
        <w:jc w:val="left"/>
        <w:rPr>
          <w:rFonts w:ascii="仿宋_GB2312" w:hAnsi="仿宋_GB2312" w:cs="仿宋_GB2312" w:eastAsia="仿宋_GB2312"/>
          <w:sz w:val="21"/>
          <w:szCs w:val="21"/>
        </w:rPr>
      </w:pPr>
      <w:r>
        <w:rPr/>
        <w:br w:type="column"/>
      </w:r>
      <w:r>
        <w:rPr>
          <w:rFonts w:ascii="Cambria Math" w:hAnsi="Cambria Math" w:cs="Cambria Math" w:eastAsia="Cambria Math"/>
          <w:sz w:val="28"/>
          <w:szCs w:val="28"/>
        </w:rPr>
        <w:t>+</w:t>
      </w:r>
      <w:r>
        <w:rPr>
          <w:rFonts w:ascii="Cambria Math" w:hAnsi="Cambria Math" w:cs="Cambria Math" w:eastAsia="Cambria Math"/>
          <w:spacing w:val="-9"/>
          <w:sz w:val="28"/>
          <w:szCs w:val="28"/>
        </w:rPr>
        <w:t> </w:t>
      </w:r>
      <w:r>
        <w:rPr>
          <w:rFonts w:ascii="仿宋_GB2312" w:hAnsi="仿宋_GB2312" w:cs="仿宋_GB2312" w:eastAsia="仿宋_GB2312"/>
          <w:spacing w:val="-4"/>
          <w:sz w:val="28"/>
          <w:szCs w:val="28"/>
        </w:rPr>
        <w:t>国家风险补偿</w:t>
      </w:r>
      <w:r>
        <w:rPr>
          <w:rFonts w:ascii="仿宋_GB2312" w:hAnsi="仿宋_GB2312" w:cs="仿宋_GB2312" w:eastAsia="仿宋_GB2312"/>
          <w:i/>
          <w:spacing w:val="-4"/>
          <w:position w:val="-11"/>
          <w:sz w:val="21"/>
          <w:szCs w:val="21"/>
        </w:rPr>
        <w:t>中国</w:t>
      </w:r>
      <w:r>
        <w:rPr>
          <w:rFonts w:ascii="仿宋_GB2312" w:hAnsi="仿宋_GB2312" w:cs="仿宋_GB2312" w:eastAsia="仿宋_GB2312"/>
          <w:sz w:val="21"/>
          <w:szCs w:val="21"/>
        </w:rPr>
      </w:r>
    </w:p>
    <w:p>
      <w:pPr>
        <w:spacing w:after="0" w:line="737" w:lineRule="exact"/>
        <w:jc w:val="left"/>
        <w:rPr>
          <w:rFonts w:ascii="仿宋_GB2312" w:hAnsi="仿宋_GB2312" w:cs="仿宋_GB2312" w:eastAsia="仿宋_GB2312"/>
          <w:sz w:val="21"/>
          <w:szCs w:val="21"/>
        </w:rPr>
        <w:sectPr>
          <w:type w:val="continuous"/>
          <w:pgSz w:w="11910" w:h="16840"/>
          <w:pgMar w:top="1500" w:bottom="1520" w:left="1680" w:right="1680"/>
          <w:cols w:num="3" w:equalWidth="0">
            <w:col w:w="2362" w:space="40"/>
            <w:col w:w="3592" w:space="40"/>
            <w:col w:w="2516"/>
          </w:cols>
        </w:sectPr>
      </w:pPr>
    </w:p>
    <w:p>
      <w:pPr>
        <w:spacing w:line="319" w:lineRule="exact" w:before="0"/>
        <w:ind w:left="118" w:right="0" w:firstLine="643"/>
        <w:jc w:val="both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pacing w:val="6"/>
          <w:sz w:val="32"/>
          <w:szCs w:val="32"/>
        </w:rPr>
        <w:t>第十四条</w:t>
      </w:r>
      <w:r>
        <w:rPr>
          <w:rFonts w:ascii="仿宋_GB2312" w:hAnsi="仿宋_GB2312" w:cs="仿宋_GB2312" w:eastAsia="仿宋_GB2312"/>
          <w:b/>
          <w:bCs/>
          <w:spacing w:val="-10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7"/>
          <w:sz w:val="32"/>
          <w:szCs w:val="32"/>
        </w:rPr>
        <w:t>其他成熟资本市场的市场风险溢价可以通过</w:t>
      </w:r>
      <w:r>
        <w:rPr>
          <w:rFonts w:ascii="仿宋_GB2312" w:hAnsi="仿宋_GB2312" w:cs="仿宋_GB2312" w:eastAsia="仿宋_GB2312"/>
          <w:sz w:val="32"/>
          <w:szCs w:val="32"/>
        </w:rPr>
      </w:r>
    </w:p>
    <w:p>
      <w:pPr>
        <w:pStyle w:val="BodyText"/>
        <w:spacing w:line="355" w:lineRule="auto" w:before="205"/>
        <w:ind w:right="0"/>
        <w:jc w:val="left"/>
      </w:pPr>
      <w:r>
        <w:rPr>
          <w:w w:val="95"/>
        </w:rPr>
        <w:t>其证券市场指数的历史风险溢价数据等计算得到，也可以直</w:t>
      </w:r>
      <w:r>
        <w:rPr>
          <w:spacing w:val="97"/>
          <w:w w:val="95"/>
        </w:rPr>
        <w:t> </w:t>
      </w:r>
      <w:r>
        <w:rPr>
          <w:spacing w:val="97"/>
          <w:w w:val="95"/>
        </w:rPr>
      </w:r>
      <w:r>
        <w:rPr/>
        <w:t>接采用相关专家学者或者专业机构研究发布的数据。</w:t>
      </w:r>
    </w:p>
    <w:p>
      <w:pPr>
        <w:pStyle w:val="BodyText"/>
        <w:spacing w:line="357" w:lineRule="auto" w:before="52"/>
        <w:ind w:right="106" w:firstLine="643"/>
        <w:jc w:val="both"/>
      </w:pPr>
      <w:r>
        <w:rPr>
          <w:rFonts w:ascii="仿宋_GB2312" w:hAnsi="仿宋_GB2312" w:cs="仿宋_GB2312" w:eastAsia="仿宋_GB2312"/>
          <w:b/>
          <w:bCs/>
          <w:spacing w:val="6"/>
        </w:rPr>
        <w:t>第十五条</w:t>
      </w:r>
      <w:r>
        <w:rPr>
          <w:rFonts w:ascii="仿宋_GB2312" w:hAnsi="仿宋_GB2312" w:cs="仿宋_GB2312" w:eastAsia="仿宋_GB2312"/>
          <w:b/>
          <w:bCs/>
          <w:spacing w:val="-9"/>
        </w:rPr>
        <w:t> </w:t>
      </w:r>
      <w:r>
        <w:rPr>
          <w:spacing w:val="7"/>
        </w:rPr>
        <w:t>中国国家风险补偿表示中国股票市场相对于</w:t>
      </w:r>
      <w:r>
        <w:rPr>
          <w:spacing w:val="7"/>
          <w:w w:val="99"/>
        </w:rPr>
        <w:t> </w:t>
      </w:r>
      <w:r>
        <w:rPr/>
        <w:t>其他成熟资本市场的国家风险溢价。中国国家风险补偿取值</w:t>
      </w:r>
      <w:r>
        <w:rPr>
          <w:w w:val="99"/>
        </w:rPr>
        <w:t> </w:t>
      </w:r>
      <w:r>
        <w:rPr>
          <w:spacing w:val="12"/>
        </w:rPr>
        <w:t>可以直接采用相关专家学者或者专业机构研究发布的中国</w:t>
      </w:r>
      <w:r>
        <w:rPr>
          <w:w w:val="99"/>
        </w:rPr>
        <w:t> </w:t>
      </w:r>
      <w:r>
        <w:rPr/>
        <w:t>国家风险补偿数据，也可以利用其发布的国家违约利差数据</w:t>
      </w:r>
      <w:r>
        <w:rPr>
          <w:w w:val="99"/>
        </w:rPr>
        <w:t> </w:t>
      </w:r>
      <w:r>
        <w:rPr/>
        <w:t>调整得到，基本计算公式如下：</w:t>
      </w:r>
    </w:p>
    <w:p>
      <w:pPr>
        <w:spacing w:after="0" w:line="357" w:lineRule="auto"/>
        <w:jc w:val="both"/>
        <w:sectPr>
          <w:type w:val="continuous"/>
          <w:pgSz w:w="11910" w:h="16840"/>
          <w:pgMar w:top="1500" w:bottom="1520" w:left="1680" w:right="1680"/>
        </w:sectPr>
      </w:pPr>
    </w:p>
    <w:p>
      <w:pPr>
        <w:pStyle w:val="BodyText"/>
        <w:spacing w:line="328" w:lineRule="exact" w:before="243"/>
        <w:ind w:left="1171" w:right="0"/>
        <w:jc w:val="left"/>
      </w:pPr>
      <w:r>
        <w:rPr/>
        <w:t>国家风险补偿</w:t>
      </w:r>
    </w:p>
    <w:p>
      <w:pPr>
        <w:spacing w:line="223" w:lineRule="exact" w:before="0"/>
        <w:ind w:left="0" w:right="0" w:firstLine="0"/>
        <w:jc w:val="right"/>
        <w:rPr>
          <w:rFonts w:ascii="仿宋_GB2312" w:hAnsi="仿宋_GB2312" w:cs="仿宋_GB2312" w:eastAsia="仿宋_GB2312"/>
          <w:sz w:val="24"/>
          <w:szCs w:val="24"/>
        </w:rPr>
      </w:pPr>
      <w:r>
        <w:rPr>
          <w:rFonts w:ascii="仿宋_GB2312" w:hAnsi="仿宋_GB2312" w:cs="仿宋_GB2312" w:eastAsia="仿宋_GB2312"/>
          <w:i/>
          <w:spacing w:val="-4"/>
          <w:w w:val="95"/>
          <w:sz w:val="24"/>
          <w:szCs w:val="24"/>
        </w:rPr>
        <w:t>中国</w:t>
      </w:r>
      <w:r>
        <w:rPr>
          <w:rFonts w:ascii="仿宋_GB2312" w:hAnsi="仿宋_GB2312" w:cs="仿宋_GB2312" w:eastAsia="仿宋_GB2312"/>
          <w:sz w:val="24"/>
          <w:szCs w:val="24"/>
        </w:rPr>
      </w:r>
    </w:p>
    <w:p>
      <w:pPr>
        <w:spacing w:line="1247" w:lineRule="exact" w:before="0"/>
        <w:ind w:left="60" w:right="0" w:firstLine="0"/>
        <w:jc w:val="left"/>
        <w:rPr>
          <w:rFonts w:ascii="仿宋_GB2312" w:hAnsi="仿宋_GB2312" w:cs="仿宋_GB2312" w:eastAsia="仿宋_GB2312"/>
          <w:sz w:val="24"/>
          <w:szCs w:val="24"/>
        </w:rPr>
      </w:pPr>
      <w:r>
        <w:rPr/>
        <w:br w:type="column"/>
      </w:r>
      <w:r>
        <w:rPr>
          <w:rFonts w:ascii="Cambria Math" w:hAnsi="Cambria Math" w:cs="Cambria Math" w:eastAsia="Cambria Math"/>
          <w:sz w:val="32"/>
          <w:szCs w:val="32"/>
        </w:rPr>
        <w:t>=</w:t>
      </w:r>
      <w:r>
        <w:rPr>
          <w:rFonts w:ascii="Cambria Math" w:hAnsi="Cambria Math" w:cs="Cambria Math" w:eastAsia="Cambria Math"/>
          <w:spacing w:val="-18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国家违约利差</w:t>
      </w:r>
      <w:r>
        <w:rPr>
          <w:rFonts w:ascii="仿宋_GB2312" w:hAnsi="仿宋_GB2312" w:cs="仿宋_GB2312" w:eastAsia="仿宋_GB2312"/>
          <w:i/>
          <w:position w:val="-13"/>
          <w:sz w:val="24"/>
          <w:szCs w:val="24"/>
        </w:rPr>
        <w:t>中国</w:t>
      </w:r>
      <w:r>
        <w:rPr>
          <w:rFonts w:ascii="仿宋_GB2312" w:hAnsi="仿宋_GB2312" w:cs="仿宋_GB2312" w:eastAsia="仿宋_GB2312"/>
          <w:sz w:val="24"/>
          <w:szCs w:val="24"/>
        </w:rPr>
      </w:r>
    </w:p>
    <w:p>
      <w:pPr>
        <w:spacing w:line="149" w:lineRule="exact" w:before="0"/>
        <w:ind w:left="341" w:right="0" w:firstLine="0"/>
        <w:jc w:val="left"/>
        <w:rPr>
          <w:rFonts w:ascii="仿宋_GB2312" w:hAnsi="仿宋_GB2312" w:cs="仿宋_GB2312" w:eastAsia="仿宋_GB2312"/>
          <w:sz w:val="24"/>
          <w:szCs w:val="24"/>
        </w:rPr>
      </w:pPr>
      <w:r>
        <w:rPr/>
        <w:br w:type="column"/>
      </w:r>
      <w:r>
        <w:rPr>
          <w:rFonts w:ascii="Cambria Math" w:hAnsi="Cambria Math" w:cs="Cambria Math" w:eastAsia="Cambria Math"/>
          <w:position w:val="11"/>
          <w:sz w:val="32"/>
          <w:szCs w:val="32"/>
        </w:rPr>
        <w:t>𝜎</w:t>
      </w:r>
      <w:r>
        <w:rPr>
          <w:rFonts w:ascii="仿宋_GB2312" w:hAnsi="仿宋_GB2312" w:cs="仿宋_GB2312" w:eastAsia="仿宋_GB2312"/>
          <w:i/>
          <w:sz w:val="24"/>
          <w:szCs w:val="24"/>
        </w:rPr>
        <w:t>股票</w:t>
      </w:r>
      <w:r>
        <w:rPr>
          <w:rFonts w:ascii="仿宋_GB2312" w:hAnsi="仿宋_GB2312" w:cs="仿宋_GB2312" w:eastAsia="仿宋_GB2312"/>
          <w:sz w:val="24"/>
          <w:szCs w:val="24"/>
        </w:rPr>
      </w:r>
    </w:p>
    <w:p>
      <w:pPr>
        <w:pStyle w:val="BodyText"/>
        <w:spacing w:line="261" w:lineRule="exact"/>
        <w:ind w:left="41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w w:val="99"/>
        </w:rPr>
        <w:t>×</w:t>
      </w:r>
      <w:r>
        <w:rPr>
          <w:rFonts w:ascii="Cambria Math" w:hAnsi="Cambria Math" w:cs="Cambria Math" w:eastAsia="Cambria Math"/>
        </w:rPr>
      </w:r>
    </w:p>
    <w:p>
      <w:pPr>
        <w:spacing w:line="838" w:lineRule="exact" w:before="0"/>
        <w:ind w:left="341" w:right="0" w:firstLine="0"/>
        <w:jc w:val="left"/>
        <w:rPr>
          <w:rFonts w:ascii="仿宋_GB2312" w:hAnsi="仿宋_GB2312" w:cs="仿宋_GB2312" w:eastAsia="仿宋_GB2312"/>
          <w:sz w:val="24"/>
          <w:szCs w:val="24"/>
        </w:rPr>
      </w:pPr>
      <w:r>
        <w:rPr/>
        <w:pict>
          <v:group style="position:absolute;margin-left:419.829987pt;margin-top:5.86978pt;width:33.050pt;height:.1pt;mso-position-horizontal-relative:page;mso-position-vertical-relative:paragraph;z-index:-5464" coordorigin="8397,117" coordsize="661,2">
            <v:shape style="position:absolute;left:8397;top:117;width:661;height:2" coordorigin="8397,117" coordsize="661,0" path="m8397,117l9057,117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position w:val="11"/>
          <w:sz w:val="32"/>
          <w:szCs w:val="32"/>
        </w:rPr>
        <w:t>𝜎</w:t>
      </w:r>
      <w:r>
        <w:rPr>
          <w:rFonts w:ascii="仿宋_GB2312" w:hAnsi="仿宋_GB2312" w:cs="仿宋_GB2312" w:eastAsia="仿宋_GB2312"/>
          <w:i/>
          <w:sz w:val="24"/>
          <w:szCs w:val="24"/>
        </w:rPr>
        <w:t>国债</w:t>
      </w:r>
      <w:r>
        <w:rPr>
          <w:rFonts w:ascii="仿宋_GB2312" w:hAnsi="仿宋_GB2312" w:cs="仿宋_GB2312" w:eastAsia="仿宋_GB2312"/>
          <w:sz w:val="24"/>
          <w:szCs w:val="24"/>
        </w:rPr>
      </w:r>
    </w:p>
    <w:p>
      <w:pPr>
        <w:spacing w:after="0" w:line="838" w:lineRule="exact"/>
        <w:jc w:val="left"/>
        <w:rPr>
          <w:rFonts w:ascii="仿宋_GB2312" w:hAnsi="仿宋_GB2312" w:cs="仿宋_GB2312" w:eastAsia="仿宋_GB2312"/>
          <w:sz w:val="24"/>
          <w:szCs w:val="24"/>
        </w:rPr>
        <w:sectPr>
          <w:type w:val="continuous"/>
          <w:pgSz w:w="11910" w:h="16840"/>
          <w:pgMar w:top="1500" w:bottom="1520" w:left="1680" w:right="1680"/>
          <w:cols w:num="3" w:equalWidth="0">
            <w:col w:w="3539" w:space="40"/>
            <w:col w:w="2757" w:space="40"/>
            <w:col w:w="2174"/>
          </w:cols>
        </w:sectPr>
      </w:pPr>
    </w:p>
    <w:p>
      <w:pPr>
        <w:pStyle w:val="BodyText"/>
        <w:spacing w:line="818" w:lineRule="exact"/>
        <w:ind w:right="0" w:firstLine="640"/>
        <w:jc w:val="both"/>
      </w:pPr>
      <w:r>
        <w:rPr>
          <w:rFonts w:ascii="Cambria Math" w:hAnsi="Cambria Math" w:cs="Cambria Math" w:eastAsia="Cambria Math"/>
          <w:spacing w:val="5"/>
          <w:w w:val="99"/>
        </w:rPr>
        <w:t>𝜎</w:t>
      </w:r>
      <w:r>
        <w:rPr>
          <w:rFonts w:ascii="仿宋_GB2312" w:hAnsi="仿宋_GB2312" w:cs="仿宋_GB2312" w:eastAsia="仿宋_GB2312"/>
          <w:i/>
          <w:spacing w:val="-3"/>
          <w:w w:val="96"/>
          <w:position w:val="-10"/>
          <w:sz w:val="24"/>
          <w:szCs w:val="24"/>
        </w:rPr>
        <w:t>股</w:t>
      </w:r>
      <w:r>
        <w:rPr>
          <w:rFonts w:ascii="仿宋_GB2312" w:hAnsi="仿宋_GB2312" w:cs="仿宋_GB2312" w:eastAsia="仿宋_GB2312"/>
          <w:i/>
          <w:spacing w:val="9"/>
          <w:w w:val="96"/>
          <w:position w:val="-10"/>
          <w:sz w:val="24"/>
          <w:szCs w:val="24"/>
        </w:rPr>
        <w:t>票</w:t>
      </w:r>
      <w:r>
        <w:rPr>
          <w:w w:val="99"/>
        </w:rPr>
        <w:t>表示</w:t>
      </w:r>
      <w:r>
        <w:rPr>
          <w:spacing w:val="-3"/>
          <w:w w:val="99"/>
        </w:rPr>
        <w:t>中</w:t>
      </w:r>
      <w:r>
        <w:rPr>
          <w:w w:val="99"/>
        </w:rPr>
        <w:t>国</w:t>
      </w:r>
      <w:r>
        <w:rPr>
          <w:spacing w:val="-3"/>
          <w:w w:val="99"/>
        </w:rPr>
        <w:t>股</w:t>
      </w:r>
      <w:r>
        <w:rPr>
          <w:w w:val="99"/>
        </w:rPr>
        <w:t>票</w:t>
      </w:r>
      <w:r>
        <w:rPr>
          <w:spacing w:val="-3"/>
          <w:w w:val="99"/>
        </w:rPr>
        <w:t>市</w:t>
      </w:r>
      <w:r>
        <w:rPr>
          <w:w w:val="99"/>
        </w:rPr>
        <w:t>场收</w:t>
      </w:r>
      <w:r>
        <w:rPr>
          <w:spacing w:val="-3"/>
          <w:w w:val="99"/>
        </w:rPr>
        <w:t>益</w:t>
      </w:r>
      <w:r>
        <w:rPr>
          <w:w w:val="99"/>
        </w:rPr>
        <w:t>率</w:t>
      </w:r>
      <w:r>
        <w:rPr>
          <w:spacing w:val="-3"/>
          <w:w w:val="99"/>
        </w:rPr>
        <w:t>的</w:t>
      </w:r>
      <w:r>
        <w:rPr>
          <w:w w:val="99"/>
        </w:rPr>
        <w:t>标</w:t>
      </w:r>
      <w:r>
        <w:rPr>
          <w:spacing w:val="-3"/>
          <w:w w:val="99"/>
        </w:rPr>
        <w:t>准</w:t>
      </w:r>
      <w:r>
        <w:rPr>
          <w:w w:val="99"/>
        </w:rPr>
        <w:t>差</w:t>
      </w:r>
      <w:r>
        <w:rPr>
          <w:spacing w:val="-11"/>
          <w:w w:val="99"/>
        </w:rPr>
        <w:t>，</w:t>
      </w:r>
      <w:r>
        <w:rPr>
          <w:rFonts w:ascii="Cambria Math" w:hAnsi="Cambria Math" w:cs="Cambria Math" w:eastAsia="Cambria Math"/>
          <w:spacing w:val="5"/>
          <w:w w:val="99"/>
        </w:rPr>
        <w:t>𝜎</w:t>
      </w:r>
      <w:r>
        <w:rPr>
          <w:rFonts w:ascii="仿宋_GB2312" w:hAnsi="仿宋_GB2312" w:cs="仿宋_GB2312" w:eastAsia="仿宋_GB2312"/>
          <w:i/>
          <w:w w:val="96"/>
          <w:position w:val="-10"/>
          <w:sz w:val="24"/>
          <w:szCs w:val="24"/>
        </w:rPr>
        <w:t>国</w:t>
      </w:r>
      <w:r>
        <w:rPr>
          <w:rFonts w:ascii="仿宋_GB2312" w:hAnsi="仿宋_GB2312" w:cs="仿宋_GB2312" w:eastAsia="仿宋_GB2312"/>
          <w:i/>
          <w:spacing w:val="7"/>
          <w:w w:val="96"/>
          <w:position w:val="-10"/>
          <w:sz w:val="24"/>
          <w:szCs w:val="24"/>
        </w:rPr>
        <w:t>债</w:t>
      </w:r>
      <w:r>
        <w:rPr>
          <w:w w:val="99"/>
        </w:rPr>
        <w:t>表示</w:t>
      </w:r>
      <w:r>
        <w:rPr>
          <w:spacing w:val="-3"/>
          <w:w w:val="99"/>
        </w:rPr>
        <w:t>中</w:t>
      </w:r>
      <w:r>
        <w:rPr>
          <w:w w:val="99"/>
        </w:rPr>
        <w:t>国</w:t>
      </w:r>
      <w:r>
        <w:rPr/>
      </w:r>
    </w:p>
    <w:p>
      <w:pPr>
        <w:pStyle w:val="BodyText"/>
        <w:spacing w:line="209" w:lineRule="exact"/>
        <w:ind w:right="0"/>
        <w:jc w:val="left"/>
      </w:pPr>
      <w:r>
        <w:rPr/>
        <w:t>国债市场收益率的标准差。</w:t>
      </w:r>
    </w:p>
    <w:p>
      <w:pPr>
        <w:spacing w:line="240" w:lineRule="auto" w:before="5"/>
        <w:rPr>
          <w:rFonts w:ascii="仿宋_GB2312" w:hAnsi="仿宋_GB2312" w:cs="仿宋_GB2312" w:eastAsia="仿宋_GB2312"/>
          <w:sz w:val="47"/>
          <w:szCs w:val="47"/>
        </w:rPr>
      </w:pPr>
    </w:p>
    <w:p>
      <w:pPr>
        <w:pStyle w:val="BodyText"/>
        <w:spacing w:line="240" w:lineRule="auto"/>
        <w:ind w:left="693" w:right="693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第五章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贝塔系数</w:t>
      </w:r>
    </w:p>
    <w:p>
      <w:pPr>
        <w:spacing w:line="240" w:lineRule="auto" w:before="9"/>
        <w:rPr>
          <w:rFonts w:ascii="黑体" w:hAnsi="黑体" w:cs="黑体" w:eastAsia="黑体"/>
          <w:sz w:val="31"/>
          <w:szCs w:val="31"/>
        </w:rPr>
      </w:pPr>
    </w:p>
    <w:p>
      <w:pPr>
        <w:pStyle w:val="BodyText"/>
        <w:spacing w:line="340" w:lineRule="auto"/>
        <w:ind w:right="113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第十六条 </w:t>
      </w:r>
      <w:r>
        <w:rPr>
          <w:spacing w:val="-8"/>
        </w:rPr>
        <w:t>贝塔系数（</w:t>
      </w:r>
      <w:r>
        <w:rPr>
          <w:rFonts w:ascii="Times New Roman" w:hAnsi="Times New Roman" w:cs="Times New Roman" w:eastAsia="Times New Roman"/>
          <w:i/>
          <w:spacing w:val="-8"/>
        </w:rPr>
        <w:t>β</w:t>
      </w:r>
      <w:r>
        <w:rPr>
          <w:rFonts w:ascii="Times New Roman" w:hAnsi="Times New Roman" w:cs="Times New Roman" w:eastAsia="Times New Roman"/>
          <w:i/>
          <w:spacing w:val="-12"/>
        </w:rPr>
        <w:t> </w:t>
      </w:r>
      <w:r>
        <w:rPr>
          <w:spacing w:val="-3"/>
        </w:rPr>
        <w:t>系数）表示系统性因素给股权投</w:t>
      </w:r>
      <w:r>
        <w:rPr>
          <w:w w:val="99"/>
        </w:rPr>
        <w:t> </w:t>
      </w:r>
      <w:r>
        <w:rPr>
          <w:w w:val="95"/>
        </w:rPr>
        <w:t>资者带来的不可分散的风险，由股票收益率与市场收益率的</w:t>
      </w:r>
      <w:r>
        <w:rPr>
          <w:spacing w:val="99"/>
          <w:w w:val="95"/>
        </w:rPr>
        <w:t> </w:t>
      </w:r>
      <w:r>
        <w:rPr>
          <w:spacing w:val="99"/>
          <w:w w:val="95"/>
        </w:rPr>
      </w:r>
      <w:r>
        <w:rPr/>
        <w:t>协方差除以市场收益率的方差得到，</w:t>
      </w:r>
      <w:r>
        <w:rPr>
          <w:rFonts w:ascii="Times New Roman" w:hAnsi="Times New Roman" w:cs="Times New Roman" w:eastAsia="Times New Roman"/>
          <w:i/>
        </w:rPr>
        <w:t>β </w:t>
      </w:r>
      <w:r>
        <w:rPr/>
        <w:t>系数等于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/>
        <w:t>，表示股</w:t>
      </w:r>
      <w:r>
        <w:rPr>
          <w:w w:val="99"/>
        </w:rPr>
        <w:t> </w:t>
      </w:r>
      <w:r>
        <w:rPr>
          <w:spacing w:val="-10"/>
        </w:rPr>
        <w:t>权投资风险与整体市场风险相当，</w:t>
      </w:r>
      <w:r>
        <w:rPr>
          <w:rFonts w:ascii="Times New Roman" w:hAnsi="Times New Roman" w:cs="Times New Roman" w:eastAsia="Times New Roman"/>
          <w:i/>
          <w:spacing w:val="-10"/>
        </w:rPr>
        <w:t>β</w:t>
      </w:r>
      <w:r>
        <w:rPr>
          <w:rFonts w:ascii="Times New Roman" w:hAnsi="Times New Roman" w:cs="Times New Roman" w:eastAsia="Times New Roman"/>
          <w:i/>
          <w:spacing w:val="-33"/>
        </w:rPr>
        <w:t> </w:t>
      </w:r>
      <w:r>
        <w:rPr/>
        <w:t>系数大于</w:t>
      </w:r>
      <w:r>
        <w:rPr>
          <w:spacing w:val="-109"/>
        </w:rPr>
        <w:t> </w:t>
      </w:r>
      <w:r>
        <w:rPr>
          <w:rFonts w:ascii="Times New Roman" w:hAnsi="Times New Roman" w:cs="Times New Roman" w:eastAsia="Times New Roman"/>
          <w:spacing w:val="-27"/>
        </w:rPr>
        <w:t>1</w:t>
      </w:r>
      <w:r>
        <w:rPr>
          <w:spacing w:val="-27"/>
        </w:rPr>
        <w:t>（或者小于</w:t>
      </w:r>
      <w:r>
        <w:rPr>
          <w:spacing w:val="-109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/>
        <w:t>）</w:t>
      </w:r>
      <w:r>
        <w:rPr>
          <w:w w:val="99"/>
        </w:rPr>
        <w:t> </w:t>
      </w:r>
      <w:r>
        <w:rPr/>
        <w:t>表示股权投资风险大于（或者小于）整体市场。</w:t>
      </w:r>
    </w:p>
    <w:p>
      <w:pPr>
        <w:spacing w:before="69"/>
        <w:ind w:left="761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第十七条 </w:t>
      </w:r>
      <w:r>
        <w:rPr>
          <w:rFonts w:ascii="仿宋_GB2312" w:hAnsi="仿宋_GB2312" w:cs="仿宋_GB2312" w:eastAsia="仿宋_GB2312"/>
          <w:sz w:val="32"/>
          <w:szCs w:val="32"/>
        </w:rPr>
        <w:t>非上市公司的股权 </w:t>
      </w:r>
      <w:r>
        <w:rPr>
          <w:rFonts w:ascii="Times New Roman" w:hAnsi="Times New Roman" w:cs="Times New Roman" w:eastAsia="Times New Roman"/>
          <w:i/>
          <w:sz w:val="32"/>
          <w:szCs w:val="32"/>
        </w:rPr>
        <w:t>β</w:t>
      </w:r>
      <w:r>
        <w:rPr>
          <w:rFonts w:ascii="Times New Roman" w:hAnsi="Times New Roman" w:cs="Times New Roman" w:eastAsia="Times New Roman"/>
          <w:i/>
          <w:spacing w:val="58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系数通常由多家可比上</w:t>
      </w:r>
    </w:p>
    <w:p>
      <w:pPr>
        <w:spacing w:after="0"/>
        <w:jc w:val="left"/>
        <w:rPr>
          <w:rFonts w:ascii="仿宋_GB2312" w:hAnsi="仿宋_GB2312" w:cs="仿宋_GB2312" w:eastAsia="仿宋_GB2312"/>
          <w:sz w:val="32"/>
          <w:szCs w:val="32"/>
        </w:rPr>
        <w:sectPr>
          <w:type w:val="continuous"/>
          <w:pgSz w:w="11910" w:h="16840"/>
          <w:pgMar w:top="1500" w:bottom="1520" w:left="1680" w:right="1680"/>
        </w:sectPr>
      </w:pPr>
    </w:p>
    <w:p>
      <w:pPr>
        <w:pStyle w:val="BodyText"/>
        <w:spacing w:line="210" w:lineRule="exact"/>
        <w:ind w:right="0"/>
        <w:jc w:val="left"/>
      </w:pPr>
      <w:r>
        <w:rPr/>
        <w:t>市公司的平均股权</w:t>
      </w:r>
      <w:r>
        <w:rPr>
          <w:spacing w:val="-85"/>
        </w:rPr>
        <w:t> </w:t>
      </w:r>
      <w:r>
        <w:rPr>
          <w:rFonts w:ascii="Times New Roman" w:hAnsi="Times New Roman" w:cs="Times New Roman" w:eastAsia="Times New Roman"/>
          <w:i/>
        </w:rPr>
        <w:t>β</w:t>
      </w:r>
      <w:r>
        <w:rPr>
          <w:rFonts w:ascii="Times New Roman" w:hAnsi="Times New Roman" w:cs="Times New Roman" w:eastAsia="Times New Roman"/>
          <w:i/>
          <w:spacing w:val="-9"/>
        </w:rPr>
        <w:t> </w:t>
      </w:r>
      <w:r>
        <w:rPr/>
        <w:t>系数调整得到，即计算可比上市公司带</w:t>
      </w:r>
    </w:p>
    <w:p>
      <w:pPr>
        <w:spacing w:line="240" w:lineRule="auto" w:before="7"/>
        <w:rPr>
          <w:rFonts w:ascii="仿宋_GB2312" w:hAnsi="仿宋_GB2312" w:cs="仿宋_GB2312" w:eastAsia="仿宋_GB2312"/>
          <w:sz w:val="32"/>
          <w:szCs w:val="32"/>
        </w:rPr>
      </w:pPr>
    </w:p>
    <w:p>
      <w:pPr>
        <w:pStyle w:val="BodyText"/>
        <w:spacing w:line="84" w:lineRule="auto"/>
        <w:ind w:right="0"/>
        <w:jc w:val="left"/>
      </w:pPr>
      <w:r>
        <w:rPr>
          <w:spacing w:val="-6"/>
        </w:rPr>
        <w:t>杠杆的</w:t>
      </w:r>
      <w:r>
        <w:rPr>
          <w:rFonts w:ascii="Cambria Math" w:hAnsi="Cambria Math" w:cs="Cambria Math" w:eastAsia="Cambria Math"/>
          <w:spacing w:val="-6"/>
        </w:rPr>
        <w:t>𝛽</w:t>
      </w:r>
      <w:r>
        <w:rPr>
          <w:rFonts w:ascii="Cambria Math" w:hAnsi="Cambria Math" w:cs="Cambria Math" w:eastAsia="Cambria Math"/>
          <w:spacing w:val="-6"/>
          <w:position w:val="-5"/>
          <w:sz w:val="23"/>
          <w:szCs w:val="23"/>
        </w:rPr>
        <w:t>𝐿</w:t>
      </w:r>
      <w:r>
        <w:rPr>
          <w:rFonts w:ascii="Cambria Math" w:hAnsi="Cambria Math" w:cs="Cambria Math" w:eastAsia="Cambria Math"/>
          <w:spacing w:val="-31"/>
          <w:position w:val="-5"/>
          <w:sz w:val="23"/>
          <w:szCs w:val="23"/>
        </w:rPr>
        <w:t> </w:t>
      </w:r>
      <w:r>
        <w:rPr>
          <w:spacing w:val="-3"/>
        </w:rPr>
        <w:t>并调整为不带杠杆的</w:t>
      </w:r>
      <w:r>
        <w:rPr>
          <w:rFonts w:ascii="Cambria Math" w:hAnsi="Cambria Math" w:cs="Cambria Math" w:eastAsia="Cambria Math"/>
          <w:spacing w:val="-3"/>
        </w:rPr>
        <w:t>𝛽</w:t>
      </w:r>
      <w:r>
        <w:rPr>
          <w:rFonts w:ascii="Cambria Math" w:hAnsi="Cambria Math" w:cs="Cambria Math" w:eastAsia="Cambria Math"/>
          <w:spacing w:val="-3"/>
          <w:position w:val="-5"/>
          <w:sz w:val="23"/>
          <w:szCs w:val="23"/>
        </w:rPr>
        <w:t>𝑈</w:t>
      </w:r>
      <w:r>
        <w:rPr>
          <w:rFonts w:ascii="Cambria Math" w:hAnsi="Cambria Math" w:cs="Cambria Math" w:eastAsia="Cambria Math"/>
          <w:spacing w:val="-21"/>
          <w:position w:val="-5"/>
          <w:sz w:val="23"/>
          <w:szCs w:val="23"/>
        </w:rPr>
        <w:t> </w:t>
      </w:r>
      <w:r>
        <w:rPr>
          <w:spacing w:val="-3"/>
        </w:rPr>
        <w:t>，在此基础上通过取平均值、</w:t>
      </w:r>
      <w:r>
        <w:rPr>
          <w:w w:val="99"/>
        </w:rPr>
        <w:t> </w:t>
      </w:r>
      <w:r>
        <w:rPr/>
        <w:t>中位数等方法得到被评估企业的</w:t>
      </w:r>
      <w:r>
        <w:rPr>
          <w:rFonts w:ascii="Cambria Math" w:hAnsi="Cambria Math" w:cs="Cambria Math" w:eastAsia="Cambria Math"/>
        </w:rPr>
        <w:t>𝛽</w:t>
      </w:r>
      <w:r>
        <w:rPr>
          <w:rFonts w:ascii="Cambria Math" w:hAnsi="Cambria Math" w:cs="Cambria Math" w:eastAsia="Cambria Math"/>
          <w:position w:val="-5"/>
          <w:sz w:val="23"/>
          <w:szCs w:val="23"/>
        </w:rPr>
        <w:t>𝑈</w:t>
      </w:r>
      <w:r>
        <w:rPr>
          <w:rFonts w:ascii="Cambria Math" w:hAnsi="Cambria Math" w:cs="Cambria Math" w:eastAsia="Cambria Math"/>
          <w:spacing w:val="-30"/>
          <w:position w:val="-5"/>
          <w:sz w:val="23"/>
          <w:szCs w:val="23"/>
        </w:rPr>
        <w:t> </w:t>
      </w:r>
      <w:r>
        <w:rPr>
          <w:spacing w:val="-4"/>
        </w:rPr>
        <w:t>，最后考虑被评估企业适 </w:t>
      </w:r>
      <w:r>
        <w:rPr>
          <w:spacing w:val="-3"/>
        </w:rPr>
        <w:t>用的资本结构得到其</w:t>
      </w:r>
      <w:r>
        <w:rPr>
          <w:rFonts w:ascii="Cambria Math" w:hAnsi="Cambria Math" w:cs="Cambria Math" w:eastAsia="Cambria Math"/>
          <w:spacing w:val="-3"/>
        </w:rPr>
        <w:t>𝛽</w:t>
      </w:r>
      <w:r>
        <w:rPr>
          <w:rFonts w:ascii="Cambria Math" w:hAnsi="Cambria Math" w:cs="Cambria Math" w:eastAsia="Cambria Math"/>
          <w:spacing w:val="-3"/>
          <w:position w:val="-5"/>
          <w:sz w:val="23"/>
          <w:szCs w:val="23"/>
        </w:rPr>
        <w:t>𝐿</w:t>
      </w:r>
      <w:r>
        <w:rPr>
          <w:rFonts w:ascii="Cambria Math" w:hAnsi="Cambria Math" w:cs="Cambria Math" w:eastAsia="Cambria Math"/>
          <w:spacing w:val="-43"/>
          <w:position w:val="-5"/>
          <w:sz w:val="23"/>
          <w:szCs w:val="23"/>
        </w:rPr>
        <w:t> </w:t>
      </w:r>
      <w:r>
        <w:rPr/>
        <w:t>，计算公式如下：</w:t>
      </w:r>
    </w:p>
    <w:p>
      <w:pPr>
        <w:spacing w:line="277" w:lineRule="exact" w:before="0"/>
        <w:ind w:left="2736" w:right="2297" w:firstLine="0"/>
        <w:jc w:val="center"/>
        <w:rPr>
          <w:rFonts w:ascii="Cambria Math" w:hAnsi="Cambria Math" w:cs="Cambria Math" w:eastAsia="Cambria Math"/>
          <w:sz w:val="23"/>
          <w:szCs w:val="23"/>
        </w:rPr>
      </w:pPr>
      <w:r>
        <w:rPr>
          <w:rFonts w:ascii="Cambria Math" w:hAnsi="Cambria Math" w:cs="Cambria Math" w:eastAsia="Cambria Math"/>
          <w:spacing w:val="-11"/>
          <w:sz w:val="32"/>
          <w:szCs w:val="32"/>
        </w:rPr>
        <w:t>𝛽</w:t>
      </w:r>
      <w:r>
        <w:rPr>
          <w:rFonts w:ascii="Cambria Math" w:hAnsi="Cambria Math" w:cs="Cambria Math" w:eastAsia="Cambria Math"/>
          <w:spacing w:val="-11"/>
          <w:position w:val="-5"/>
          <w:sz w:val="23"/>
          <w:szCs w:val="23"/>
        </w:rPr>
        <w:t>𝐿</w:t>
      </w:r>
      <w:r>
        <w:rPr>
          <w:rFonts w:ascii="Cambria Math" w:hAnsi="Cambria Math" w:cs="Cambria Math" w:eastAsia="Cambria Math"/>
          <w:spacing w:val="-11"/>
          <w:sz w:val="23"/>
          <w:szCs w:val="23"/>
        </w:rPr>
      </w:r>
    </w:p>
    <w:p>
      <w:pPr>
        <w:spacing w:after="0" w:line="277" w:lineRule="exact"/>
        <w:jc w:val="center"/>
        <w:rPr>
          <w:rFonts w:ascii="Cambria Math" w:hAnsi="Cambria Math" w:cs="Cambria Math" w:eastAsia="Cambria Math"/>
          <w:sz w:val="23"/>
          <w:szCs w:val="23"/>
        </w:rPr>
        <w:sectPr>
          <w:pgSz w:w="11910" w:h="16840"/>
          <w:pgMar w:header="0" w:footer="1114" w:top="1380" w:bottom="1520" w:left="1680" w:right="1360"/>
        </w:sectPr>
      </w:pPr>
    </w:p>
    <w:p>
      <w:pPr>
        <w:spacing w:line="1047" w:lineRule="exact" w:before="0"/>
        <w:ind w:left="0" w:right="0" w:firstLine="0"/>
        <w:jc w:val="right"/>
        <w:rPr>
          <w:rFonts w:ascii="Cambria Math" w:hAnsi="Cambria Math" w:cs="Cambria Math" w:eastAsia="Cambria Math"/>
          <w:sz w:val="32"/>
          <w:szCs w:val="32"/>
        </w:rPr>
      </w:pPr>
      <w:r>
        <w:rPr>
          <w:rFonts w:ascii="Cambria Math" w:hAnsi="Cambria Math" w:cs="Cambria Math" w:eastAsia="Cambria Math"/>
          <w:spacing w:val="-11"/>
          <w:sz w:val="32"/>
          <w:szCs w:val="32"/>
        </w:rPr>
        <w:t>𝛽</w:t>
      </w:r>
      <w:r>
        <w:rPr>
          <w:rFonts w:ascii="Cambria Math" w:hAnsi="Cambria Math" w:cs="Cambria Math" w:eastAsia="Cambria Math"/>
          <w:spacing w:val="-11"/>
          <w:position w:val="-5"/>
          <w:sz w:val="23"/>
          <w:szCs w:val="23"/>
        </w:rPr>
        <w:t>𝑈  </w:t>
      </w:r>
      <w:r>
        <w:rPr>
          <w:rFonts w:ascii="Cambria Math" w:hAnsi="Cambria Math" w:cs="Cambria Math" w:eastAsia="Cambria Math"/>
          <w:spacing w:val="2"/>
          <w:position w:val="-5"/>
          <w:sz w:val="23"/>
          <w:szCs w:val="23"/>
        </w:rPr>
        <w:t> </w:t>
      </w:r>
      <w:r>
        <w:rPr>
          <w:rFonts w:ascii="Cambria Math" w:hAnsi="Cambria Math" w:cs="Cambria Math" w:eastAsia="Cambria Math"/>
          <w:sz w:val="32"/>
          <w:szCs w:val="32"/>
        </w:rPr>
        <w:t>=</w:t>
      </w:r>
    </w:p>
    <w:p>
      <w:pPr>
        <w:pStyle w:val="BodyText"/>
        <w:spacing w:line="314" w:lineRule="exact"/>
        <w:ind w:left="50" w:right="0"/>
        <w:jc w:val="left"/>
        <w:rPr>
          <w:rFonts w:ascii="Cambria Math" w:hAnsi="Cambria Math" w:cs="Cambria Math" w:eastAsia="Cambria Math"/>
        </w:rPr>
      </w:pPr>
      <w:r>
        <w:rPr/>
        <w:br w:type="column"/>
      </w:r>
      <w:r>
        <w:rPr>
          <w:rFonts w:ascii="Cambria Math" w:hAnsi="Cambria Math" w:cs="Cambria Math" w:eastAsia="Cambria Math"/>
        </w:rPr>
        <w:t>1 + </w:t>
      </w:r>
      <w:r>
        <w:rPr>
          <w:rFonts w:ascii="Cambria Math" w:hAnsi="Cambria Math" w:cs="Cambria Math" w:eastAsia="Cambria Math"/>
          <w:position w:val="1"/>
        </w:rPr>
        <w:t>(</w:t>
      </w:r>
      <w:r>
        <w:rPr>
          <w:rFonts w:ascii="Cambria Math" w:hAnsi="Cambria Math" w:cs="Cambria Math" w:eastAsia="Cambria Math"/>
        </w:rPr>
        <w:t>1 − </w:t>
      </w:r>
      <w:r>
        <w:rPr>
          <w:rFonts w:ascii="Cambria Math" w:hAnsi="Cambria Math" w:cs="Cambria Math" w:eastAsia="Cambria Math"/>
          <w:spacing w:val="4"/>
        </w:rPr>
        <w:t>𝑇</w:t>
      </w:r>
      <w:r>
        <w:rPr>
          <w:rFonts w:ascii="Cambria Math" w:hAnsi="Cambria Math" w:cs="Cambria Math" w:eastAsia="Cambria Math"/>
          <w:spacing w:val="4"/>
          <w:position w:val="1"/>
        </w:rPr>
        <w:t>) </w:t>
      </w:r>
      <w:r>
        <w:rPr>
          <w:rFonts w:ascii="Cambria Math" w:hAnsi="Cambria Math" w:cs="Cambria Math" w:eastAsia="Cambria Math"/>
        </w:rPr>
        <w:t>×</w:t>
      </w:r>
      <w:r>
        <w:rPr>
          <w:rFonts w:ascii="Cambria Math" w:hAnsi="Cambria Math" w:cs="Cambria Math" w:eastAsia="Cambria Math"/>
          <w:spacing w:val="11"/>
        </w:rPr>
        <w:t> </w:t>
      </w:r>
      <w:r>
        <w:rPr>
          <w:rFonts w:ascii="Cambria Math" w:hAnsi="Cambria Math" w:cs="Cambria Math" w:eastAsia="Cambria Math"/>
          <w:spacing w:val="11"/>
          <w:position w:val="19"/>
        </w:rPr>
      </w:r>
      <w:r>
        <w:rPr>
          <w:rFonts w:ascii="Cambria Math" w:hAnsi="Cambria Math" w:cs="Cambria Math" w:eastAsia="Cambria Math"/>
          <w:spacing w:val="11"/>
          <w:position w:val="19"/>
          <w:u w:val="thick" w:color="000000"/>
        </w:rPr>
      </w:r>
      <w:r>
        <w:rPr>
          <w:rFonts w:ascii="Cambria Math" w:hAnsi="Cambria Math" w:cs="Cambria Math" w:eastAsia="Cambria Math"/>
          <w:position w:val="19"/>
          <w:u w:val="thick" w:color="000000"/>
        </w:rPr>
        <w:t>�</w:t>
      </w:r>
      <w:r>
        <w:rPr>
          <w:rFonts w:ascii="Cambria Math" w:hAnsi="Cambria Math" w:cs="Cambria Math" w:eastAsia="Cambria Math"/>
          <w:w w:val="99"/>
          <w:position w:val="19"/>
          <w:u w:val="thick" w:color="000000"/>
        </w:rPr>
        <w:t> </w:t>
      </w:r>
      <w:r>
        <w:rPr>
          <w:rFonts w:ascii="Cambria Math" w:hAnsi="Cambria Math" w:cs="Cambria Math" w:eastAsia="Cambria Math"/>
          <w:w w:val="99"/>
          <w:position w:val="19"/>
        </w:rPr>
      </w:r>
      <w:r>
        <w:rPr>
          <w:rFonts w:ascii="Cambria Math" w:hAnsi="Cambria Math" w:cs="Cambria Math" w:eastAsia="Cambria Math"/>
        </w:rPr>
      </w:r>
    </w:p>
    <w:p>
      <w:pPr>
        <w:pStyle w:val="BodyText"/>
        <w:spacing w:line="444" w:lineRule="exact"/>
        <w:ind w:left="1739" w:right="2858"/>
        <w:jc w:val="center"/>
        <w:rPr>
          <w:rFonts w:ascii="Cambria Math" w:hAnsi="Cambria Math" w:cs="Cambria Math" w:eastAsia="Cambria Math"/>
        </w:rPr>
      </w:pPr>
      <w:r>
        <w:rPr/>
        <w:pict>
          <v:group style="position:absolute;margin-left:262.609985pt;margin-top:-7.26864pt;width:109.1pt;height:.1pt;mso-position-horizontal-relative:page;mso-position-vertical-relative:paragraph;z-index:-5416" coordorigin="5252,-145" coordsize="2182,2">
            <v:shape style="position:absolute;left:5252;top:-145;width:2182;height:2" coordorigin="5252,-145" coordsize="2182,0" path="m5252,-145l7434,-145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w w:val="94"/>
        </w:rPr>
        <w:t>�</w:t>
      </w:r>
      <w:r>
        <w:rPr>
          <w:rFonts w:ascii="Cambria Math" w:hAnsi="Cambria Math" w:cs="Cambria Math" w:eastAsia="Cambria Math"/>
        </w:rPr>
      </w:r>
    </w:p>
    <w:p>
      <w:pPr>
        <w:pStyle w:val="BodyText"/>
        <w:spacing w:line="440" w:lineRule="exact"/>
        <w:ind w:left="1941" w:right="2689"/>
        <w:jc w:val="center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w w:val="104"/>
        </w:rPr>
        <w:t>�</w:t>
      </w:r>
      <w:r>
        <w:rPr>
          <w:rFonts w:ascii="Cambria Math" w:hAnsi="Cambria Math" w:cs="Cambria Math" w:eastAsia="Cambria Math"/>
        </w:rPr>
      </w:r>
    </w:p>
    <w:p>
      <w:pPr>
        <w:spacing w:after="0" w:line="440" w:lineRule="exact"/>
        <w:jc w:val="center"/>
        <w:rPr>
          <w:rFonts w:ascii="Cambria Math" w:hAnsi="Cambria Math" w:cs="Cambria Math" w:eastAsia="Cambria Math"/>
        </w:rPr>
        <w:sectPr>
          <w:type w:val="continuous"/>
          <w:pgSz w:w="11910" w:h="16840"/>
          <w:pgMar w:top="1500" w:bottom="1520" w:left="1680" w:right="1360"/>
          <w:cols w:num="2" w:equalWidth="0">
            <w:col w:w="3482" w:space="40"/>
            <w:col w:w="5348"/>
          </w:cols>
        </w:sectPr>
      </w:pPr>
    </w:p>
    <w:p>
      <w:pPr>
        <w:spacing w:line="565" w:lineRule="exact" w:before="0"/>
        <w:ind w:left="2487" w:right="0" w:firstLine="0"/>
        <w:jc w:val="left"/>
        <w:rPr>
          <w:rFonts w:ascii="Cambria Math" w:hAnsi="Cambria Math" w:cs="Cambria Math" w:eastAsia="Cambria Math"/>
          <w:sz w:val="32"/>
          <w:szCs w:val="32"/>
        </w:rPr>
      </w:pPr>
      <w:r>
        <w:rPr/>
        <w:pict>
          <v:group style="position:absolute;margin-left:369.429993pt;margin-top:9.03551pt;width:11.55pt;height:.1pt;mso-position-horizontal-relative:page;mso-position-vertical-relative:paragraph;z-index:-5392" coordorigin="7389,181" coordsize="231,2">
            <v:shape style="position:absolute;left:7389;top:181;width:231;height:2" coordorigin="7389,181" coordsize="231,0" path="m7389,181l7619,181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spacing w:val="-11"/>
          <w:sz w:val="32"/>
          <w:szCs w:val="32"/>
        </w:rPr>
        <w:t>𝛽</w:t>
      </w:r>
      <w:r>
        <w:rPr>
          <w:rFonts w:ascii="Cambria Math" w:hAnsi="Cambria Math" w:cs="Cambria Math" w:eastAsia="Cambria Math"/>
          <w:spacing w:val="-11"/>
          <w:position w:val="-5"/>
          <w:sz w:val="23"/>
          <w:szCs w:val="23"/>
        </w:rPr>
        <w:t>𝐿   </w:t>
      </w:r>
      <w:r>
        <w:rPr>
          <w:rFonts w:ascii="Cambria Math" w:hAnsi="Cambria Math" w:cs="Cambria Math" w:eastAsia="Cambria Math"/>
          <w:sz w:val="32"/>
          <w:szCs w:val="32"/>
        </w:rPr>
        <w:t>= </w:t>
      </w:r>
      <w:r>
        <w:rPr>
          <w:rFonts w:ascii="Cambria Math" w:hAnsi="Cambria Math" w:cs="Cambria Math" w:eastAsia="Cambria Math"/>
          <w:spacing w:val="-11"/>
          <w:sz w:val="32"/>
          <w:szCs w:val="32"/>
        </w:rPr>
        <w:t>𝛽</w:t>
      </w:r>
      <w:r>
        <w:rPr>
          <w:rFonts w:ascii="Cambria Math" w:hAnsi="Cambria Math" w:cs="Cambria Math" w:eastAsia="Cambria Math"/>
          <w:spacing w:val="-11"/>
          <w:position w:val="-5"/>
          <w:sz w:val="23"/>
          <w:szCs w:val="23"/>
        </w:rPr>
        <w:t>𝑈  </w:t>
      </w:r>
      <w:r>
        <w:rPr>
          <w:rFonts w:ascii="Cambria Math" w:hAnsi="Cambria Math" w:cs="Cambria Math" w:eastAsia="Cambria Math"/>
          <w:sz w:val="32"/>
          <w:szCs w:val="32"/>
        </w:rPr>
        <w:t>[1 + </w:t>
      </w:r>
      <w:r>
        <w:rPr>
          <w:rFonts w:ascii="Cambria Math" w:hAnsi="Cambria Math" w:cs="Cambria Math" w:eastAsia="Cambria Math"/>
          <w:position w:val="1"/>
          <w:sz w:val="32"/>
          <w:szCs w:val="32"/>
        </w:rPr>
        <w:t>(</w:t>
      </w:r>
      <w:r>
        <w:rPr>
          <w:rFonts w:ascii="Cambria Math" w:hAnsi="Cambria Math" w:cs="Cambria Math" w:eastAsia="Cambria Math"/>
          <w:sz w:val="32"/>
          <w:szCs w:val="32"/>
        </w:rPr>
        <w:t>1 − </w:t>
      </w:r>
      <w:r>
        <w:rPr>
          <w:rFonts w:ascii="Cambria Math" w:hAnsi="Cambria Math" w:cs="Cambria Math" w:eastAsia="Cambria Math"/>
          <w:spacing w:val="4"/>
          <w:sz w:val="32"/>
          <w:szCs w:val="32"/>
        </w:rPr>
        <w:t>𝑇</w:t>
      </w:r>
      <w:r>
        <w:rPr>
          <w:rFonts w:ascii="Cambria Math" w:hAnsi="Cambria Math" w:cs="Cambria Math" w:eastAsia="Cambria Math"/>
          <w:spacing w:val="4"/>
          <w:position w:val="1"/>
          <w:sz w:val="32"/>
          <w:szCs w:val="32"/>
        </w:rPr>
        <w:t>) </w:t>
      </w:r>
      <w:r>
        <w:rPr>
          <w:rFonts w:ascii="Cambria Math" w:hAnsi="Cambria Math" w:cs="Cambria Math" w:eastAsia="Cambria Math"/>
          <w:sz w:val="32"/>
          <w:szCs w:val="32"/>
        </w:rPr>
        <w:t>×</w:t>
      </w:r>
      <w:r>
        <w:rPr>
          <w:rFonts w:ascii="Cambria Math" w:hAnsi="Cambria Math" w:cs="Cambria Math" w:eastAsia="Cambria Math"/>
          <w:spacing w:val="44"/>
          <w:sz w:val="32"/>
          <w:szCs w:val="32"/>
        </w:rPr>
        <w:t> </w:t>
      </w:r>
      <w:r>
        <w:rPr>
          <w:rFonts w:ascii="Cambria Math" w:hAnsi="Cambria Math" w:cs="Cambria Math" w:eastAsia="Cambria Math"/>
          <w:spacing w:val="11"/>
          <w:position w:val="-21"/>
          <w:sz w:val="32"/>
          <w:szCs w:val="32"/>
        </w:rPr>
        <w:t>�</w:t>
      </w:r>
      <w:r>
        <w:rPr>
          <w:rFonts w:ascii="Cambria Math" w:hAnsi="Cambria Math" w:cs="Cambria Math" w:eastAsia="Cambria Math"/>
          <w:spacing w:val="11"/>
          <w:sz w:val="32"/>
          <w:szCs w:val="32"/>
        </w:rPr>
        <w:t>]</w:t>
      </w:r>
    </w:p>
    <w:p>
      <w:pPr>
        <w:spacing w:line="913" w:lineRule="exact" w:before="0"/>
        <w:ind w:left="118" w:right="0" w:firstLine="64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Cambria Math" w:hAnsi="Cambria Math" w:cs="Cambria Math" w:eastAsia="Cambria Math"/>
          <w:spacing w:val="-11"/>
          <w:sz w:val="32"/>
          <w:szCs w:val="32"/>
        </w:rPr>
        <w:t>𝛽</w:t>
      </w:r>
      <w:r>
        <w:rPr>
          <w:rFonts w:ascii="Cambria Math" w:hAnsi="Cambria Math" w:cs="Cambria Math" w:eastAsia="Cambria Math"/>
          <w:spacing w:val="-11"/>
          <w:position w:val="-5"/>
          <w:sz w:val="23"/>
          <w:szCs w:val="23"/>
        </w:rPr>
        <w:t>𝑈</w:t>
      </w:r>
      <w:r>
        <w:rPr>
          <w:rFonts w:ascii="Cambria Math" w:hAnsi="Cambria Math" w:cs="Cambria Math" w:eastAsia="Cambria Math"/>
          <w:spacing w:val="-30"/>
          <w:position w:val="-5"/>
          <w:sz w:val="23"/>
          <w:szCs w:val="23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表示无财务杠杆的</w:t>
      </w:r>
      <w:r>
        <w:rPr>
          <w:rFonts w:ascii="仿宋_GB2312" w:hAnsi="仿宋_GB2312" w:cs="仿宋_GB2312" w:eastAsia="仿宋_GB2312"/>
          <w:spacing w:val="-6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sz w:val="32"/>
          <w:szCs w:val="32"/>
        </w:rPr>
        <w:t>β</w:t>
      </w:r>
      <w:r>
        <w:rPr>
          <w:rFonts w:ascii="Times New Roman" w:hAnsi="Times New Roman" w:cs="Times New Roman" w:eastAsia="Times New Roman"/>
          <w:i/>
          <w:spacing w:val="11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-6"/>
          <w:sz w:val="32"/>
          <w:szCs w:val="32"/>
        </w:rPr>
        <w:t>系数，</w:t>
      </w:r>
      <w:r>
        <w:rPr>
          <w:rFonts w:ascii="Cambria Math" w:hAnsi="Cambria Math" w:cs="Cambria Math" w:eastAsia="Cambria Math"/>
          <w:spacing w:val="-6"/>
          <w:sz w:val="32"/>
          <w:szCs w:val="32"/>
        </w:rPr>
        <w:t>𝛽</w:t>
      </w:r>
      <w:r>
        <w:rPr>
          <w:rFonts w:ascii="Cambria Math" w:hAnsi="Cambria Math" w:cs="Cambria Math" w:eastAsia="Cambria Math"/>
          <w:spacing w:val="-6"/>
          <w:position w:val="-5"/>
          <w:sz w:val="23"/>
          <w:szCs w:val="23"/>
        </w:rPr>
        <w:t>𝐿</w:t>
      </w:r>
      <w:r>
        <w:rPr>
          <w:rFonts w:ascii="Cambria Math" w:hAnsi="Cambria Math" w:cs="Cambria Math" w:eastAsia="Cambria Math"/>
          <w:spacing w:val="-31"/>
          <w:position w:val="-5"/>
          <w:sz w:val="23"/>
          <w:szCs w:val="23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表示包含财务杠杆的</w:t>
      </w:r>
      <w:r>
        <w:rPr>
          <w:rFonts w:ascii="仿宋_GB2312" w:hAnsi="仿宋_GB2312" w:cs="仿宋_GB2312" w:eastAsia="仿宋_GB2312"/>
          <w:spacing w:val="-6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sz w:val="32"/>
          <w:szCs w:val="32"/>
        </w:rPr>
        <w:t>β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25" w:lineRule="exact" w:before="0"/>
        <w:ind w:left="118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sz w:val="32"/>
          <w:szCs w:val="32"/>
        </w:rPr>
        <w:t>系数，</w:t>
      </w:r>
      <w:r>
        <w:rPr>
          <w:rFonts w:ascii="Times New Roman" w:hAnsi="Times New Roman" w:cs="Times New Roman" w:eastAsia="Times New Roman"/>
          <w:i/>
          <w:sz w:val="32"/>
          <w:szCs w:val="32"/>
        </w:rPr>
        <w:t>T </w:t>
      </w:r>
      <w:r>
        <w:rPr>
          <w:rFonts w:ascii="仿宋_GB2312" w:hAnsi="仿宋_GB2312" w:cs="仿宋_GB2312" w:eastAsia="仿宋_GB2312"/>
          <w:sz w:val="32"/>
          <w:szCs w:val="32"/>
        </w:rPr>
        <w:t>表示所得税税率，</w:t>
      </w:r>
      <w:r>
        <w:rPr>
          <w:rFonts w:ascii="Times New Roman" w:hAnsi="Times New Roman" w:cs="Times New Roman" w:eastAsia="Times New Roman"/>
          <w:i/>
          <w:sz w:val="32"/>
          <w:szCs w:val="32"/>
        </w:rPr>
        <w:t>D </w:t>
      </w:r>
      <w:r>
        <w:rPr>
          <w:rFonts w:ascii="仿宋_GB2312" w:hAnsi="仿宋_GB2312" w:cs="仿宋_GB2312" w:eastAsia="仿宋_GB2312"/>
          <w:sz w:val="32"/>
          <w:szCs w:val="32"/>
        </w:rPr>
        <w:t>表示债权价值，</w:t>
      </w:r>
      <w:r>
        <w:rPr>
          <w:rFonts w:ascii="Times New Roman" w:hAnsi="Times New Roman" w:cs="Times New Roman" w:eastAsia="Times New Roman"/>
          <w:i/>
          <w:sz w:val="32"/>
          <w:szCs w:val="32"/>
        </w:rPr>
        <w:t>E </w:t>
      </w:r>
      <w:r>
        <w:rPr>
          <w:rFonts w:ascii="Times New Roman" w:hAnsi="Times New Roman" w:cs="Times New Roman" w:eastAsia="Times New Roman"/>
          <w:i/>
          <w:spacing w:val="25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表示股权价</w:t>
      </w:r>
    </w:p>
    <w:p>
      <w:pPr>
        <w:pStyle w:val="BodyText"/>
        <w:spacing w:line="240" w:lineRule="auto" w:before="178"/>
        <w:ind w:right="0"/>
        <w:jc w:val="left"/>
      </w:pPr>
      <w:r>
        <w:rPr/>
        <w:t>值。</w:t>
      </w:r>
    </w:p>
    <w:p>
      <w:pPr>
        <w:pStyle w:val="BodyText"/>
        <w:spacing w:line="355" w:lineRule="auto" w:before="205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  <w:spacing w:val="6"/>
        </w:rPr>
        <w:t>第十八条</w:t>
      </w:r>
      <w:r>
        <w:rPr>
          <w:rFonts w:ascii="仿宋_GB2312" w:hAnsi="仿宋_GB2312" w:cs="仿宋_GB2312" w:eastAsia="仿宋_GB2312"/>
          <w:b/>
          <w:bCs/>
          <w:spacing w:val="-9"/>
        </w:rPr>
        <w:t> </w:t>
      </w:r>
      <w:r>
        <w:rPr>
          <w:spacing w:val="7"/>
        </w:rPr>
        <w:t>被评估企业适用的资本结构一般可以通过下</w:t>
      </w:r>
      <w:r>
        <w:rPr>
          <w:spacing w:val="7"/>
          <w:w w:val="99"/>
        </w:rPr>
        <w:t> </w:t>
      </w:r>
      <w:r>
        <w:rPr/>
        <w:t>列几种途径确定：</w:t>
      </w:r>
    </w:p>
    <w:p>
      <w:pPr>
        <w:pStyle w:val="BodyText"/>
        <w:spacing w:line="357" w:lineRule="auto" w:before="49"/>
        <w:ind w:right="0" w:firstLine="640"/>
        <w:jc w:val="left"/>
      </w:pPr>
      <w:r>
        <w:rPr>
          <w:w w:val="95"/>
        </w:rPr>
        <w:t>（一）采用被评估企业评估基准日的真实资本结构，前</w:t>
      </w:r>
      <w:r>
        <w:rPr>
          <w:w w:val="99"/>
        </w:rPr>
        <w:t> </w:t>
      </w:r>
      <w:r>
        <w:rPr/>
        <w:t>提是企业发展趋于稳定；</w:t>
      </w:r>
    </w:p>
    <w:p>
      <w:pPr>
        <w:pStyle w:val="BodyText"/>
        <w:spacing w:line="357" w:lineRule="auto" w:before="46"/>
        <w:ind w:right="0" w:firstLine="640"/>
        <w:jc w:val="left"/>
      </w:pPr>
      <w:r>
        <w:rPr/>
        <w:t>（二）采用目标资本结构，取值可以参考可比公司或者</w:t>
      </w:r>
      <w:r>
        <w:rPr>
          <w:w w:val="99"/>
        </w:rPr>
        <w:t> </w:t>
      </w:r>
      <w:r>
        <w:rPr/>
        <w:t>行业资本结构水平，并分析企业真实资本结构与目标资本结</w:t>
      </w:r>
      <w:r>
        <w:rPr>
          <w:w w:val="99"/>
        </w:rPr>
        <w:t> </w:t>
      </w:r>
      <w:r>
        <w:rPr>
          <w:spacing w:val="6"/>
          <w:w w:val="95"/>
        </w:rPr>
        <w:t>构的差异及其对债权期望报酬率、股权期望报酬率的影响，</w:t>
      </w:r>
      <w:r>
        <w:rPr>
          <w:spacing w:val="95"/>
          <w:w w:val="95"/>
        </w:rPr>
        <w:t> </w:t>
      </w:r>
      <w:r>
        <w:rPr>
          <w:spacing w:val="95"/>
          <w:w w:val="95"/>
        </w:rPr>
      </w:r>
      <w:r>
        <w:rPr/>
        <w:t>考虑是否需要采取过渡性调整等措施。</w:t>
      </w:r>
    </w:p>
    <w:p>
      <w:pPr>
        <w:pStyle w:val="BodyText"/>
        <w:spacing w:line="355" w:lineRule="auto" w:before="48"/>
        <w:ind w:right="426" w:firstLine="643"/>
        <w:jc w:val="both"/>
      </w:pPr>
      <w:r>
        <w:rPr>
          <w:rFonts w:ascii="仿宋_GB2312" w:hAnsi="仿宋_GB2312" w:cs="仿宋_GB2312" w:eastAsia="仿宋_GB2312"/>
          <w:b/>
          <w:bCs/>
          <w:spacing w:val="6"/>
        </w:rPr>
        <w:t>第十九条</w:t>
      </w:r>
      <w:r>
        <w:rPr>
          <w:rFonts w:ascii="仿宋_GB2312" w:hAnsi="仿宋_GB2312" w:cs="仿宋_GB2312" w:eastAsia="仿宋_GB2312"/>
          <w:b/>
          <w:bCs/>
          <w:spacing w:val="-9"/>
        </w:rPr>
        <w:t> </w:t>
      </w:r>
      <w:r>
        <w:rPr>
          <w:spacing w:val="7"/>
        </w:rPr>
        <w:t>评估专业人员在选择可比公司时，一般需要</w:t>
      </w:r>
      <w:r>
        <w:rPr>
          <w:spacing w:val="7"/>
          <w:w w:val="99"/>
        </w:rPr>
        <w:t> </w:t>
      </w:r>
      <w:r>
        <w:rPr>
          <w:w w:val="95"/>
        </w:rPr>
        <w:t>综合考虑可比公司与被评估企业在业务类型、企业规模、盈</w:t>
      </w:r>
      <w:r>
        <w:rPr>
          <w:spacing w:val="99"/>
          <w:w w:val="95"/>
        </w:rPr>
        <w:t> </w:t>
      </w:r>
      <w:r>
        <w:rPr>
          <w:spacing w:val="99"/>
          <w:w w:val="95"/>
        </w:rPr>
      </w:r>
      <w:r>
        <w:rPr/>
        <w:t>利能力、成长性、行业竞争力、企业发展阶段等多方面的可</w:t>
      </w:r>
    </w:p>
    <w:p>
      <w:pPr>
        <w:pStyle w:val="BodyText"/>
        <w:spacing w:line="240" w:lineRule="auto" w:before="52"/>
        <w:ind w:right="0"/>
        <w:jc w:val="left"/>
      </w:pPr>
      <w:r>
        <w:rPr/>
        <w:t>比性。</w:t>
      </w:r>
    </w:p>
    <w:p>
      <w:pPr>
        <w:spacing w:after="0" w:line="240" w:lineRule="auto"/>
        <w:jc w:val="left"/>
        <w:sectPr>
          <w:type w:val="continuous"/>
          <w:pgSz w:w="11910" w:h="16840"/>
          <w:pgMar w:top="1500" w:bottom="1520" w:left="1680" w:right="1360"/>
        </w:sectPr>
      </w:pPr>
    </w:p>
    <w:p>
      <w:pPr>
        <w:pStyle w:val="BodyText"/>
        <w:spacing w:line="336" w:lineRule="auto"/>
        <w:ind w:right="434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第二十条 </w:t>
      </w:r>
      <w:r>
        <w:rPr/>
        <w:t>可比上市公司的 </w:t>
      </w:r>
      <w:r>
        <w:rPr>
          <w:rFonts w:ascii="Times New Roman" w:hAnsi="Times New Roman" w:cs="Times New Roman" w:eastAsia="Times New Roman"/>
          <w:i/>
        </w:rPr>
        <w:t>β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/>
        <w:t>系数可以通过回归方法计</w:t>
      </w:r>
      <w:r>
        <w:rPr>
          <w:w w:val="99"/>
        </w:rPr>
        <w:t> </w:t>
      </w:r>
      <w:r>
        <w:rPr/>
        <w:t>算得到，也可以从相关数据平台查询获取。</w:t>
      </w:r>
    </w:p>
    <w:p>
      <w:pPr>
        <w:pStyle w:val="BodyText"/>
        <w:spacing w:line="348" w:lineRule="auto" w:before="77"/>
        <w:ind w:right="432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第二十一条 </w:t>
      </w:r>
      <w:r>
        <w:rPr/>
        <w:t>可比上市公司的 </w:t>
      </w:r>
      <w:r>
        <w:rPr>
          <w:rFonts w:ascii="Times New Roman" w:hAnsi="Times New Roman" w:cs="Times New Roman" w:eastAsia="Times New Roman"/>
          <w:i/>
        </w:rPr>
        <w:t>β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/>
        <w:t>系数计算或查询结果与</w:t>
      </w:r>
      <w:r>
        <w:rPr>
          <w:w w:val="99"/>
        </w:rPr>
        <w:t> </w:t>
      </w:r>
      <w:r>
        <w:rPr>
          <w:w w:val="95"/>
        </w:rPr>
        <w:t>证券市场指数的选择密切相关，评估专业人员应当合理选择</w:t>
      </w:r>
      <w:r>
        <w:rPr>
          <w:spacing w:val="99"/>
          <w:w w:val="95"/>
        </w:rPr>
        <w:t> </w:t>
      </w:r>
      <w:r>
        <w:rPr>
          <w:spacing w:val="99"/>
          <w:w w:val="95"/>
        </w:rPr>
      </w:r>
      <w:r>
        <w:rPr/>
        <w:t>证券市场指数，并关注其与市场风险溢价的匹配性。</w:t>
      </w:r>
    </w:p>
    <w:p>
      <w:pPr>
        <w:spacing w:line="240" w:lineRule="auto" w:before="4"/>
        <w:rPr>
          <w:rFonts w:ascii="仿宋_GB2312" w:hAnsi="仿宋_GB2312" w:cs="仿宋_GB2312" w:eastAsia="仿宋_GB2312"/>
          <w:sz w:val="36"/>
          <w:szCs w:val="36"/>
        </w:rPr>
      </w:pPr>
    </w:p>
    <w:p>
      <w:pPr>
        <w:pStyle w:val="BodyText"/>
        <w:spacing w:line="314" w:lineRule="exact"/>
        <w:ind w:left="2734" w:right="305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第六章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其他参数</w:t>
      </w:r>
    </w:p>
    <w:p>
      <w:pPr>
        <w:pStyle w:val="BodyText"/>
        <w:spacing w:line="168" w:lineRule="auto" w:before="194"/>
        <w:ind w:right="419" w:firstLine="643"/>
        <w:jc w:val="both"/>
      </w:pPr>
      <w:r>
        <w:rPr>
          <w:rFonts w:ascii="仿宋_GB2312" w:hAnsi="仿宋_GB2312" w:cs="仿宋_GB2312" w:eastAsia="仿宋_GB2312"/>
          <w:b/>
          <w:bCs/>
          <w:spacing w:val="12"/>
        </w:rPr>
        <w:t>第二十二条</w:t>
      </w:r>
      <w:r>
        <w:rPr>
          <w:rFonts w:ascii="仿宋_GB2312" w:hAnsi="仿宋_GB2312" w:cs="仿宋_GB2312" w:eastAsia="仿宋_GB2312"/>
          <w:b/>
          <w:bCs/>
          <w:spacing w:val="27"/>
        </w:rPr>
        <w:t> </w:t>
      </w:r>
      <w:r>
        <w:rPr>
          <w:spacing w:val="14"/>
        </w:rPr>
        <w:t>特定风险报酬率</w:t>
      </w:r>
      <w:r>
        <w:rPr>
          <w:rFonts w:ascii="Cambria Math" w:hAnsi="Cambria Math" w:cs="Cambria Math" w:eastAsia="Cambria Math"/>
          <w:spacing w:val="14"/>
        </w:rPr>
        <w:t>𝜀</w:t>
      </w:r>
      <w:r>
        <w:rPr>
          <w:spacing w:val="14"/>
        </w:rPr>
        <w:t>表示被评估企业自身特</w:t>
      </w:r>
      <w:r>
        <w:rPr>
          <w:spacing w:val="14"/>
          <w:w w:val="99"/>
        </w:rPr>
        <w:t> </w:t>
      </w:r>
      <w:r>
        <w:rPr/>
        <w:t>定因素导致的非系统性风险的报酬率。</w:t>
      </w:r>
    </w:p>
    <w:p>
      <w:pPr>
        <w:spacing w:line="355" w:lineRule="auto" w:before="218"/>
        <w:ind w:left="118" w:right="435" w:firstLine="643"/>
        <w:jc w:val="both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pacing w:val="6"/>
          <w:sz w:val="32"/>
          <w:szCs w:val="32"/>
        </w:rPr>
        <w:t>第二十三条</w:t>
      </w:r>
      <w:r>
        <w:rPr>
          <w:rFonts w:ascii="仿宋_GB2312" w:hAnsi="仿宋_GB2312" w:cs="仿宋_GB2312" w:eastAsia="仿宋_GB2312"/>
          <w:b/>
          <w:bCs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6"/>
          <w:sz w:val="32"/>
          <w:szCs w:val="32"/>
        </w:rPr>
        <w:t>特定风险报酬率一般可以通过下列几种方</w:t>
      </w:r>
      <w:r>
        <w:rPr>
          <w:rFonts w:ascii="仿宋_GB2312" w:hAnsi="仿宋_GB2312" w:cs="仿宋_GB2312" w:eastAsia="仿宋_GB2312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法确定：</w:t>
      </w:r>
    </w:p>
    <w:p>
      <w:pPr>
        <w:pStyle w:val="BodyText"/>
        <w:spacing w:line="240" w:lineRule="auto" w:before="49"/>
        <w:ind w:left="758" w:right="0"/>
        <w:jc w:val="left"/>
      </w:pPr>
      <w:r>
        <w:rPr>
          <w:spacing w:val="6"/>
        </w:rPr>
        <w:t>（一）通过多因素回归分析等数理统计方法计算得到；</w:t>
      </w:r>
    </w:p>
    <w:p>
      <w:pPr>
        <w:pStyle w:val="BodyText"/>
        <w:spacing w:line="357" w:lineRule="auto" w:before="205"/>
        <w:ind w:right="0" w:firstLine="640"/>
        <w:jc w:val="left"/>
      </w:pPr>
      <w:r>
        <w:rPr/>
        <w:t>（二）将特定风险报酬率拆分为规模溢价和其他特定风</w:t>
      </w:r>
      <w:r>
        <w:rPr>
          <w:w w:val="99"/>
        </w:rPr>
        <w:t> </w:t>
      </w:r>
      <w:r>
        <w:rPr>
          <w:w w:val="95"/>
        </w:rPr>
        <w:t>险溢价。规模溢价可以利用资本市场数据通过统计分析得到，</w:t>
      </w:r>
      <w:r>
        <w:rPr>
          <w:spacing w:val="114"/>
          <w:w w:val="95"/>
        </w:rPr>
        <w:t> </w:t>
      </w:r>
      <w:r>
        <w:rPr>
          <w:spacing w:val="114"/>
          <w:w w:val="95"/>
        </w:rPr>
      </w:r>
      <w:r>
        <w:rPr/>
        <w:t>也可以参考相关专家学者或者专业机构研究发布的数据；其</w:t>
      </w:r>
      <w:r>
        <w:rPr>
          <w:w w:val="99"/>
        </w:rPr>
        <w:t> </w:t>
      </w:r>
      <w:r>
        <w:rPr/>
        <w:t>他特定风险溢价一般可以通过经验判断分析确定；</w:t>
      </w:r>
    </w:p>
    <w:p>
      <w:pPr>
        <w:pStyle w:val="BodyText"/>
        <w:spacing w:line="357" w:lineRule="auto" w:before="46"/>
        <w:ind w:right="436" w:firstLine="640"/>
        <w:jc w:val="both"/>
      </w:pPr>
      <w:r>
        <w:rPr>
          <w:w w:val="95"/>
        </w:rPr>
        <w:t>（三）在对企业的规模、核心竞争力、对大客户和关键</w:t>
      </w:r>
      <w:r>
        <w:rPr>
          <w:w w:val="99"/>
        </w:rPr>
        <w:t> </w:t>
      </w:r>
      <w:r>
        <w:rPr>
          <w:w w:val="95"/>
        </w:rPr>
        <w:t>供应商的依赖等因素进行综合分析的基础上，根据经验判断</w:t>
      </w:r>
      <w:r>
        <w:rPr>
          <w:spacing w:val="99"/>
          <w:w w:val="95"/>
        </w:rPr>
        <w:t> </w:t>
      </w:r>
      <w:r>
        <w:rPr>
          <w:spacing w:val="99"/>
          <w:w w:val="95"/>
        </w:rPr>
      </w:r>
      <w:r>
        <w:rPr/>
        <w:t>确定。</w:t>
      </w:r>
    </w:p>
    <w:p>
      <w:pPr>
        <w:pStyle w:val="BodyText"/>
        <w:spacing w:line="357" w:lineRule="auto" w:before="46"/>
        <w:ind w:right="435" w:firstLine="643"/>
        <w:jc w:val="both"/>
      </w:pPr>
      <w:r>
        <w:rPr>
          <w:rFonts w:ascii="仿宋_GB2312" w:hAnsi="仿宋_GB2312" w:cs="仿宋_GB2312" w:eastAsia="仿宋_GB2312"/>
          <w:b/>
          <w:bCs/>
          <w:spacing w:val="6"/>
        </w:rPr>
        <w:t>第二十四条</w:t>
      </w:r>
      <w:r>
        <w:rPr>
          <w:rFonts w:ascii="仿宋_GB2312" w:hAnsi="仿宋_GB2312" w:cs="仿宋_GB2312" w:eastAsia="仿宋_GB2312"/>
          <w:b/>
          <w:bCs/>
        </w:rPr>
        <w:t> </w:t>
      </w:r>
      <w:r>
        <w:rPr>
          <w:spacing w:val="6"/>
        </w:rPr>
        <w:t>债权期望报酬率是企业债务融资的资本成</w:t>
      </w:r>
      <w:r>
        <w:rPr>
          <w:w w:val="99"/>
        </w:rPr>
        <w:t> </w:t>
      </w:r>
      <w:r>
        <w:rPr/>
        <w:t>本，一般可以通过下列几种途径确定：</w:t>
      </w:r>
    </w:p>
    <w:p>
      <w:pPr>
        <w:pStyle w:val="BodyText"/>
        <w:spacing w:line="240" w:lineRule="auto" w:before="46"/>
        <w:ind w:left="758" w:right="0"/>
        <w:jc w:val="left"/>
      </w:pPr>
      <w:r>
        <w:rPr/>
        <w:t>（一）以全国银行间同业拆借中心公布的贷款市场报价</w:t>
      </w:r>
    </w:p>
    <w:p>
      <w:pPr>
        <w:spacing w:after="0" w:line="240" w:lineRule="auto"/>
        <w:jc w:val="left"/>
        <w:sectPr>
          <w:pgSz w:w="11910" w:h="16840"/>
          <w:pgMar w:header="0" w:footer="1333" w:top="1380" w:bottom="1300" w:left="1680" w:right="1360"/>
        </w:sectPr>
      </w:pPr>
    </w:p>
    <w:p>
      <w:pPr>
        <w:pStyle w:val="BodyText"/>
        <w:spacing w:line="433" w:lineRule="exact"/>
        <w:ind w:right="0"/>
        <w:jc w:val="left"/>
      </w:pPr>
      <w:r>
        <w:rPr/>
        <w:t>利率（</w:t>
      </w:r>
      <w:r>
        <w:rPr>
          <w:rFonts w:ascii="Times New Roman" w:hAnsi="Times New Roman" w:cs="Times New Roman" w:eastAsia="Times New Roman"/>
        </w:rPr>
        <w:t>LPR</w:t>
      </w:r>
      <w:r>
        <w:rPr/>
        <w:t>）为基础调整得到；</w:t>
      </w:r>
    </w:p>
    <w:p>
      <w:pPr>
        <w:pStyle w:val="BodyText"/>
        <w:spacing w:line="357" w:lineRule="auto" w:before="178"/>
        <w:ind w:right="0" w:firstLine="640"/>
        <w:jc w:val="left"/>
      </w:pPr>
      <w:r>
        <w:rPr>
          <w:w w:val="95"/>
        </w:rPr>
        <w:t>（二）采用企业债务的实际利率，前提是其利率水平与</w:t>
      </w:r>
      <w:r>
        <w:rPr>
          <w:w w:val="99"/>
        </w:rPr>
        <w:t> </w:t>
      </w:r>
      <w:r>
        <w:rPr/>
        <w:t>市场利率不存在较大偏差。</w:t>
      </w:r>
    </w:p>
    <w:p>
      <w:pPr>
        <w:pStyle w:val="BodyText"/>
        <w:spacing w:line="357" w:lineRule="auto" w:before="46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  <w:spacing w:val="6"/>
        </w:rPr>
        <w:t>第二十五条</w:t>
      </w:r>
      <w:r>
        <w:rPr>
          <w:rFonts w:ascii="仿宋_GB2312" w:hAnsi="仿宋_GB2312" w:cs="仿宋_GB2312" w:eastAsia="仿宋_GB2312"/>
          <w:b/>
          <w:bCs/>
        </w:rPr>
        <w:t> </w:t>
      </w:r>
      <w:r>
        <w:rPr>
          <w:spacing w:val="6"/>
        </w:rPr>
        <w:t>折现率计算中采用的债权价值和股权价值</w:t>
      </w:r>
      <w:r>
        <w:rPr>
          <w:w w:val="99"/>
        </w:rPr>
        <w:t> </w:t>
      </w:r>
      <w:r>
        <w:rPr/>
        <w:t>为市场价值。</w:t>
      </w:r>
    </w:p>
    <w:p>
      <w:pPr>
        <w:spacing w:line="240" w:lineRule="auto" w:before="4"/>
        <w:rPr>
          <w:rFonts w:ascii="仿宋_GB2312" w:hAnsi="仿宋_GB2312" w:cs="仿宋_GB2312" w:eastAsia="仿宋_GB2312"/>
          <w:sz w:val="35"/>
          <w:szCs w:val="35"/>
        </w:rPr>
      </w:pPr>
    </w:p>
    <w:p>
      <w:pPr>
        <w:pStyle w:val="BodyText"/>
        <w:spacing w:line="240" w:lineRule="auto"/>
        <w:ind w:left="2734" w:right="305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第七章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披露要求</w:t>
      </w:r>
    </w:p>
    <w:p>
      <w:pPr>
        <w:spacing w:line="240" w:lineRule="auto" w:before="8"/>
        <w:rPr>
          <w:rFonts w:ascii="黑体" w:hAnsi="黑体" w:cs="黑体" w:eastAsia="黑体"/>
          <w:sz w:val="31"/>
          <w:szCs w:val="31"/>
        </w:rPr>
      </w:pPr>
    </w:p>
    <w:p>
      <w:pPr>
        <w:pStyle w:val="BodyText"/>
        <w:spacing w:line="355" w:lineRule="auto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第二十六条</w:t>
      </w:r>
      <w:r>
        <w:rPr>
          <w:rFonts w:ascii="仿宋_GB2312" w:hAnsi="仿宋_GB2312" w:cs="仿宋_GB2312" w:eastAsia="仿宋_GB2312"/>
          <w:b/>
          <w:bCs/>
          <w:spacing w:val="-5"/>
        </w:rPr>
        <w:t> </w:t>
      </w:r>
      <w:r>
        <w:rPr/>
        <w:t>资产评估报告中应当披露折现率计算采用</w:t>
      </w:r>
      <w:r>
        <w:rPr>
          <w:w w:val="99"/>
        </w:rPr>
        <w:t> </w:t>
      </w:r>
      <w:r>
        <w:rPr/>
        <w:t>的模型及各参数的确定方法。</w:t>
      </w:r>
    </w:p>
    <w:p>
      <w:pPr>
        <w:pStyle w:val="BodyText"/>
        <w:spacing w:line="355" w:lineRule="auto" w:before="51"/>
        <w:ind w:right="435" w:firstLine="643"/>
        <w:jc w:val="both"/>
      </w:pPr>
      <w:r>
        <w:rPr>
          <w:rFonts w:ascii="仿宋_GB2312" w:hAnsi="仿宋_GB2312" w:cs="仿宋_GB2312" w:eastAsia="仿宋_GB2312"/>
          <w:b/>
          <w:bCs/>
          <w:spacing w:val="6"/>
        </w:rPr>
        <w:t>第二十七条</w:t>
      </w:r>
      <w:r>
        <w:rPr>
          <w:rFonts w:ascii="仿宋_GB2312" w:hAnsi="仿宋_GB2312" w:cs="仿宋_GB2312" w:eastAsia="仿宋_GB2312"/>
          <w:b/>
          <w:bCs/>
        </w:rPr>
        <w:t> </w:t>
      </w:r>
      <w:r>
        <w:rPr>
          <w:spacing w:val="6"/>
        </w:rPr>
        <w:t>引用相关专家学者、专业机构或者数据平</w:t>
      </w:r>
      <w:r>
        <w:rPr>
          <w:w w:val="99"/>
        </w:rPr>
        <w:t> </w:t>
      </w:r>
      <w:r>
        <w:rPr>
          <w:w w:val="95"/>
        </w:rPr>
        <w:t>台发布的数据作为参数值的，资产评估报告中应当披露数据</w:t>
      </w:r>
      <w:r>
        <w:rPr>
          <w:spacing w:val="99"/>
          <w:w w:val="95"/>
        </w:rPr>
        <w:t> </w:t>
      </w:r>
      <w:r>
        <w:rPr>
          <w:spacing w:val="99"/>
          <w:w w:val="95"/>
        </w:rPr>
      </w:r>
      <w:r>
        <w:rPr/>
        <w:t>来源。</w:t>
      </w:r>
    </w:p>
    <w:p>
      <w:pPr>
        <w:pStyle w:val="BodyText"/>
        <w:spacing w:line="355" w:lineRule="auto" w:before="51"/>
        <w:ind w:right="0" w:firstLine="640"/>
        <w:jc w:val="left"/>
      </w:pPr>
      <w:r>
        <w:rPr>
          <w:spacing w:val="13"/>
        </w:rPr>
        <w:t>引用的参数应当能够通过评估档案追溯其数据来源及</w:t>
      </w:r>
      <w:r>
        <w:rPr>
          <w:w w:val="99"/>
        </w:rPr>
        <w:t> </w:t>
      </w:r>
      <w:r>
        <w:rPr/>
        <w:t>查询方法。</w:t>
      </w:r>
    </w:p>
    <w:p>
      <w:pPr>
        <w:pStyle w:val="BodyText"/>
        <w:spacing w:line="348" w:lineRule="auto" w:before="49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  <w:spacing w:val="6"/>
        </w:rPr>
        <w:t>第二十八条</w:t>
      </w:r>
      <w:r>
        <w:rPr>
          <w:rFonts w:ascii="仿宋_GB2312" w:hAnsi="仿宋_GB2312" w:cs="仿宋_GB2312" w:eastAsia="仿宋_GB2312"/>
          <w:b/>
          <w:bCs/>
          <w:spacing w:val="-8"/>
        </w:rPr>
        <w:t> </w:t>
      </w:r>
      <w:r>
        <w:rPr>
          <w:spacing w:val="6"/>
        </w:rPr>
        <w:t>通过市场公开数据计算得到市场风险溢价、</w:t>
      </w:r>
      <w:r>
        <w:rPr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β</w:t>
      </w:r>
      <w:r>
        <w:rPr>
          <w:rFonts w:ascii="Times New Roman" w:hAnsi="Times New Roman" w:cs="Times New Roman" w:eastAsia="Times New Roman"/>
          <w:i/>
          <w:spacing w:val="70"/>
        </w:rPr>
        <w:t> </w:t>
      </w:r>
      <w:r>
        <w:rPr/>
        <w:t>系数、规模溢价等参数值的，资产评估报告中应当披露计</w:t>
      </w:r>
      <w:r>
        <w:rPr>
          <w:w w:val="99"/>
        </w:rPr>
        <w:t> </w:t>
      </w:r>
      <w:r>
        <w:rPr/>
        <w:t>算方法。</w:t>
      </w:r>
    </w:p>
    <w:p>
      <w:pPr>
        <w:pStyle w:val="BodyText"/>
        <w:spacing w:line="355" w:lineRule="auto" w:before="61"/>
        <w:ind w:left="761" w:right="0" w:hanging="3"/>
        <w:jc w:val="left"/>
      </w:pPr>
      <w:r>
        <w:rPr/>
        <w:t>计算的参数应当能够通过评估档案复核其计算结果。</w:t>
      </w:r>
      <w:r>
        <w:rPr>
          <w:w w:val="99"/>
        </w:rPr>
        <w:t> </w:t>
      </w:r>
      <w:r>
        <w:rPr>
          <w:rFonts w:ascii="仿宋_GB2312" w:hAnsi="仿宋_GB2312" w:cs="仿宋_GB2312" w:eastAsia="仿宋_GB2312"/>
          <w:b/>
          <w:bCs/>
          <w:spacing w:val="6"/>
        </w:rPr>
        <w:t>第二十九条</w:t>
      </w:r>
      <w:r>
        <w:rPr>
          <w:rFonts w:ascii="仿宋_GB2312" w:hAnsi="仿宋_GB2312" w:cs="仿宋_GB2312" w:eastAsia="仿宋_GB2312"/>
          <w:b/>
          <w:bCs/>
        </w:rPr>
        <w:t> </w:t>
      </w:r>
      <w:r>
        <w:rPr>
          <w:spacing w:val="6"/>
        </w:rPr>
        <w:t>通过经验判断等主观分析方法得到参数值</w:t>
      </w:r>
    </w:p>
    <w:p>
      <w:pPr>
        <w:pStyle w:val="BodyText"/>
        <w:spacing w:line="240" w:lineRule="auto" w:before="49"/>
        <w:ind w:right="0"/>
        <w:jc w:val="left"/>
      </w:pPr>
      <w:r>
        <w:rPr/>
        <w:t>的，资产评估报告中应当披露分析方法。</w:t>
      </w:r>
    </w:p>
    <w:p>
      <w:pPr>
        <w:pStyle w:val="BodyText"/>
        <w:spacing w:line="357" w:lineRule="auto" w:before="205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  <w:spacing w:val="6"/>
        </w:rPr>
        <w:t>第三十条</w:t>
      </w:r>
      <w:r>
        <w:rPr>
          <w:rFonts w:ascii="仿宋_GB2312" w:hAnsi="仿宋_GB2312" w:cs="仿宋_GB2312" w:eastAsia="仿宋_GB2312"/>
          <w:b/>
          <w:bCs/>
          <w:spacing w:val="1"/>
        </w:rPr>
        <w:t> </w:t>
      </w:r>
      <w:r>
        <w:rPr>
          <w:spacing w:val="7"/>
        </w:rPr>
        <w:t>对存在不确定性因素的参数，资产评估专业</w:t>
      </w:r>
      <w:r>
        <w:rPr>
          <w:spacing w:val="7"/>
          <w:w w:val="99"/>
        </w:rPr>
        <w:t> </w:t>
      </w:r>
      <w:r>
        <w:rPr>
          <w:spacing w:val="6"/>
          <w:w w:val="95"/>
        </w:rPr>
        <w:t>人员可以通过敏感性分析等方法分析其对评估结论的影响，</w:t>
      </w:r>
      <w:r>
        <w:rPr>
          <w:spacing w:val="6"/>
        </w:rPr>
      </w:r>
    </w:p>
    <w:p>
      <w:pPr>
        <w:spacing w:after="0" w:line="357" w:lineRule="auto"/>
        <w:jc w:val="left"/>
        <w:sectPr>
          <w:pgSz w:w="11910" w:h="16840"/>
          <w:pgMar w:header="0" w:footer="1114" w:top="1380" w:bottom="1520" w:left="1680" w:right="1360"/>
        </w:sectPr>
      </w:pPr>
    </w:p>
    <w:p>
      <w:pPr>
        <w:pStyle w:val="BodyText"/>
        <w:spacing w:line="409" w:lineRule="exact"/>
        <w:ind w:right="0"/>
        <w:jc w:val="left"/>
      </w:pPr>
      <w:r>
        <w:rPr/>
        <w:t>并在资产评估报告中予以披露。</w:t>
      </w:r>
    </w:p>
    <w:sectPr>
      <w:pgSz w:w="11910" w:h="16840"/>
      <w:pgMar w:header="0" w:footer="1333" w:top="1380" w:bottom="13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5pt;margin-top:764.294373pt;width:37.1pt;height:16.05pt;mso-position-horizontal-relative:page;mso-position-vertical-relative:page;z-index:-5512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8.903999pt;margin-top:775.214355pt;width:44.1pt;height:16.05pt;mso-position-horizontal-relative:page;mso-position-vertical-relative:page;z-index:-5488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仿宋_GB2312" w:hAnsi="仿宋_GB2312" w:eastAsia="仿宋_GB2312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关于对《商誉减值测试评估专家指引（征求意见稿）》 </dc:title>
  <dcterms:created xsi:type="dcterms:W3CDTF">2021-01-04T18:20:29Z</dcterms:created>
  <dcterms:modified xsi:type="dcterms:W3CDTF">2021-01-04T18:20:29Z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2021-01-04T00:00:00Z</vt:filetime>
  </property>
</Properties>
</file>