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92" w:lineRule="exact" w:before="0"/>
        <w:ind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6"/>
        </w:rPr>
        <w:t>附件</w:t>
      </w:r>
      <w:r>
        <w:rPr>
          <w:rFonts w:ascii="黑体" w:hAnsi="黑体" w:cs="黑体" w:eastAsia="黑体"/>
        </w:rPr>
      </w: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240" w:lineRule="auto" w:before="0"/>
        <w:rPr>
          <w:rFonts w:ascii="黑体" w:hAnsi="黑体" w:cs="黑体" w:eastAsia="黑体"/>
          <w:sz w:val="20"/>
          <w:szCs w:val="20"/>
        </w:rPr>
      </w:pPr>
    </w:p>
    <w:p>
      <w:pPr>
        <w:spacing w:line="650" w:lineRule="exact" w:before="106"/>
        <w:ind w:left="0" w:right="158" w:firstLine="0"/>
        <w:jc w:val="center"/>
        <w:rPr>
          <w:rFonts w:ascii="华文中宋" w:hAnsi="华文中宋" w:cs="华文中宋" w:eastAsia="华文中宋"/>
          <w:sz w:val="44"/>
          <w:szCs w:val="44"/>
        </w:rPr>
      </w:pPr>
      <w:r>
        <w:rPr>
          <w:rFonts w:ascii="华文中宋" w:hAnsi="华文中宋" w:cs="华文中宋" w:eastAsia="华文中宋"/>
          <w:spacing w:val="-18"/>
          <w:sz w:val="44"/>
          <w:szCs w:val="44"/>
        </w:rPr>
        <w:t>资产评估专家指引第</w:t>
      </w:r>
      <w:r>
        <w:rPr>
          <w:rFonts w:ascii="Times New Roman" w:hAnsi="Times New Roman" w:cs="Times New Roman" w:eastAsia="Times New Roman"/>
          <w:spacing w:val="-18"/>
          <w:sz w:val="44"/>
          <w:szCs w:val="44"/>
        </w:rPr>
        <w:t>11</w:t>
      </w:r>
      <w:r>
        <w:rPr>
          <w:rFonts w:ascii="华文中宋" w:hAnsi="华文中宋" w:cs="华文中宋" w:eastAsia="华文中宋"/>
          <w:spacing w:val="-18"/>
          <w:sz w:val="44"/>
          <w:szCs w:val="44"/>
        </w:rPr>
        <w:t>号——</w:t>
      </w:r>
      <w:r>
        <w:rPr>
          <w:rFonts w:ascii="华文中宋" w:hAnsi="华文中宋" w:cs="华文中宋" w:eastAsia="华文中宋"/>
          <w:spacing w:val="-134"/>
          <w:sz w:val="44"/>
          <w:szCs w:val="44"/>
        </w:rPr>
        <w:t> </w:t>
      </w:r>
      <w:r>
        <w:rPr>
          <w:rFonts w:ascii="华文中宋" w:hAnsi="华文中宋" w:cs="华文中宋" w:eastAsia="华文中宋"/>
          <w:spacing w:val="-134"/>
          <w:sz w:val="44"/>
          <w:szCs w:val="44"/>
        </w:rPr>
      </w:r>
      <w:r>
        <w:rPr>
          <w:rFonts w:ascii="华文中宋" w:hAnsi="华文中宋" w:cs="华文中宋" w:eastAsia="华文中宋"/>
          <w:spacing w:val="-15"/>
          <w:sz w:val="44"/>
          <w:szCs w:val="44"/>
        </w:rPr>
        <w:t>商誉减值测试评估</w:t>
      </w:r>
    </w:p>
    <w:p>
      <w:pPr>
        <w:spacing w:line="240" w:lineRule="auto" w:before="0"/>
        <w:rPr>
          <w:rFonts w:ascii="华文中宋" w:hAnsi="华文中宋" w:cs="华文中宋" w:eastAsia="华文中宋"/>
          <w:sz w:val="44"/>
          <w:szCs w:val="44"/>
        </w:rPr>
      </w:pPr>
    </w:p>
    <w:p>
      <w:pPr>
        <w:spacing w:line="240" w:lineRule="auto" w:before="11"/>
        <w:rPr>
          <w:rFonts w:ascii="华文中宋" w:hAnsi="华文中宋" w:cs="华文中宋" w:eastAsia="华文中宋"/>
          <w:sz w:val="35"/>
          <w:szCs w:val="35"/>
        </w:rPr>
      </w:pPr>
    </w:p>
    <w:p>
      <w:pPr>
        <w:pStyle w:val="BodyText"/>
        <w:spacing w:line="357" w:lineRule="auto" w:before="0"/>
        <w:ind w:right="254"/>
        <w:jc w:val="both"/>
      </w:pPr>
      <w:r>
        <w:rPr>
          <w:spacing w:val="-12"/>
        </w:rPr>
        <w:t>本专家指引是一种专家建议。资产评估机构执行资产评估</w:t>
      </w:r>
      <w:r>
        <w:rPr>
          <w:w w:val="99"/>
        </w:rPr>
        <w:t> </w:t>
      </w:r>
      <w:r>
        <w:rPr>
          <w:spacing w:val="-13"/>
        </w:rPr>
        <w:t>业务，可以参照本专家指引。中国资产评估协会将根据业务发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展，对本专家指引进行更新。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27"/>
          <w:szCs w:val="27"/>
        </w:rPr>
      </w:pPr>
    </w:p>
    <w:p>
      <w:pPr>
        <w:pStyle w:val="BodyText"/>
        <w:tabs>
          <w:tab w:pos="1211" w:val="left" w:leader="none"/>
        </w:tabs>
        <w:spacing w:line="240" w:lineRule="auto" w:before="0"/>
        <w:ind w:left="0" w:right="156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第一章</w:t>
        <w:tab/>
      </w:r>
      <w:r>
        <w:rPr>
          <w:rFonts w:ascii="黑体" w:hAnsi="黑体" w:cs="黑体" w:eastAsia="黑体"/>
          <w:spacing w:val="-16"/>
        </w:rPr>
        <w:t>引言</w:t>
      </w:r>
      <w:r>
        <w:rPr>
          <w:rFonts w:ascii="黑体" w:hAnsi="黑体" w:cs="黑体" w:eastAsia="黑体"/>
        </w:rPr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57" w:firstLine="609"/>
        <w:jc w:val="both"/>
      </w:pPr>
      <w:r>
        <w:rPr>
          <w:rFonts w:ascii="仿宋_GB2312" w:hAnsi="仿宋_GB2312" w:cs="仿宋_GB2312" w:eastAsia="仿宋_GB2312"/>
          <w:b/>
          <w:bCs/>
        </w:rPr>
        <w:t>第一条</w:t>
      </w:r>
      <w:r>
        <w:rPr>
          <w:rFonts w:ascii="仿宋_GB2312" w:hAnsi="仿宋_GB2312" w:cs="仿宋_GB2312" w:eastAsia="仿宋_GB2312"/>
          <w:b/>
          <w:bCs/>
          <w:spacing w:val="-30"/>
        </w:rPr>
        <w:t> </w:t>
      </w:r>
      <w:r>
        <w:rPr>
          <w:spacing w:val="-5"/>
        </w:rPr>
        <w:t>为指导资产评估机构执行企业商誉减值测试评估</w:t>
      </w:r>
      <w:r>
        <w:rPr>
          <w:spacing w:val="-5"/>
          <w:w w:val="99"/>
        </w:rPr>
        <w:t> </w:t>
      </w:r>
      <w:r>
        <w:rPr>
          <w:spacing w:val="-23"/>
        </w:rPr>
        <w:t>业务，根据《以财务报告为目的的评估指南》，中国资产评估协</w:t>
      </w:r>
      <w:r>
        <w:rPr>
          <w:spacing w:val="-156"/>
        </w:rPr>
        <w:t> </w:t>
      </w:r>
      <w:r>
        <w:rPr>
          <w:spacing w:val="-156"/>
        </w:rPr>
      </w:r>
      <w:r>
        <w:rPr>
          <w:spacing w:val="-16"/>
        </w:rPr>
        <w:t>会组织制定了本专家指引。</w:t>
      </w:r>
    </w:p>
    <w:p>
      <w:pPr>
        <w:pStyle w:val="BodyText"/>
        <w:spacing w:line="352" w:lineRule="auto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  <w:spacing w:val="-11"/>
        </w:rPr>
        <w:t>第二条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26"/>
        </w:rPr>
        <w:t>根据《企业会计准则第</w:t>
      </w:r>
      <w:r>
        <w:rPr>
          <w:spacing w:val="-97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-14"/>
        </w:rPr>
        <w:t> </w:t>
      </w:r>
      <w:r>
        <w:rPr>
          <w:spacing w:val="-23"/>
        </w:rPr>
        <w:t>号</w:t>
      </w:r>
      <w:r>
        <w:rPr>
          <w:rFonts w:ascii="Times New Roman" w:hAnsi="Times New Roman" w:cs="Times New Roman" w:eastAsia="Times New Roman"/>
          <w:spacing w:val="-23"/>
        </w:rPr>
        <w:t>——</w:t>
      </w:r>
      <w:r>
        <w:rPr>
          <w:spacing w:val="-23"/>
        </w:rPr>
        <w:t>资产减值》的规定，</w:t>
      </w:r>
      <w:r>
        <w:rPr>
          <w:w w:val="99"/>
        </w:rPr>
        <w:t> </w:t>
      </w:r>
      <w:r>
        <w:rPr>
          <w:spacing w:val="-13"/>
        </w:rPr>
        <w:t>因企业合并形成的商誉应在每年年度终了或在会计期间内出现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减值迹象时进行减值测试，商誉减值测试应当估计包含商誉的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资产组或资产组组合的可收回金额，以判断商誉是否发生减值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6"/>
        </w:rPr>
        <w:t>或计算商誉减值金额。</w:t>
      </w:r>
    </w:p>
    <w:p>
      <w:pPr>
        <w:pStyle w:val="BodyText"/>
        <w:spacing w:line="357" w:lineRule="auto" w:before="55"/>
        <w:ind w:right="252"/>
        <w:jc w:val="both"/>
      </w:pPr>
      <w:r>
        <w:rPr>
          <w:spacing w:val="-12"/>
        </w:rPr>
        <w:t>本专家指引所称商誉减值测试评估，仅指资产评估机构接</w:t>
      </w:r>
      <w:r>
        <w:rPr>
          <w:w w:val="99"/>
        </w:rPr>
        <w:t> </w:t>
      </w:r>
      <w:r>
        <w:rPr>
          <w:spacing w:val="-13"/>
        </w:rPr>
        <w:t>受企业委托，根据企业商誉减值测试的需要，对包含商誉的资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产组或资产组组合的可收回金额进行估算并出具资产评估报告</w:t>
      </w:r>
    </w:p>
    <w:p>
      <w:pPr>
        <w:spacing w:after="0" w:line="357" w:lineRule="auto"/>
        <w:jc w:val="both"/>
        <w:sectPr>
          <w:footerReference w:type="default" r:id="rId5"/>
          <w:footerReference w:type="even" r:id="rId6"/>
          <w:type w:val="continuous"/>
          <w:pgSz w:w="11910" w:h="16840"/>
          <w:pgMar w:footer="1114" w:top="1500" w:bottom="1300" w:left="1680" w:right="1520"/>
          <w:pgNumType w:start="3"/>
        </w:sectPr>
      </w:pPr>
    </w:p>
    <w:p>
      <w:pPr>
        <w:pStyle w:val="BodyText"/>
        <w:spacing w:line="392" w:lineRule="exact" w:before="0"/>
        <w:ind w:left="725" w:right="0" w:hanging="608"/>
        <w:jc w:val="left"/>
      </w:pPr>
      <w:r>
        <w:rPr>
          <w:spacing w:val="-15"/>
        </w:rPr>
        <w:t>的专业服务行为。</w:t>
      </w:r>
    </w:p>
    <w:p>
      <w:pPr>
        <w:pStyle w:val="BodyText"/>
        <w:spacing w:line="357" w:lineRule="auto" w:before="205"/>
        <w:ind w:right="254"/>
        <w:jc w:val="both"/>
      </w:pPr>
      <w:r>
        <w:rPr>
          <w:spacing w:val="-12"/>
        </w:rPr>
        <w:t>资产评估专业人员接受委托执行的其他商誉减值测试相关</w:t>
      </w:r>
      <w:r>
        <w:rPr>
          <w:w w:val="99"/>
        </w:rPr>
        <w:t> </w:t>
      </w:r>
      <w:r>
        <w:rPr>
          <w:spacing w:val="-16"/>
        </w:rPr>
        <w:t>业务，可以参照本专家指引。</w:t>
      </w:r>
    </w:p>
    <w:p>
      <w:pPr>
        <w:pStyle w:val="BodyText"/>
        <w:spacing w:line="357" w:lineRule="auto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</w:rPr>
        <w:t>第三条</w:t>
      </w:r>
      <w:r>
        <w:rPr>
          <w:rFonts w:ascii="仿宋_GB2312" w:hAnsi="仿宋_GB2312" w:cs="仿宋_GB2312" w:eastAsia="仿宋_GB2312"/>
          <w:b/>
          <w:bCs/>
          <w:spacing w:val="-18"/>
        </w:rPr>
        <w:t> </w:t>
      </w:r>
      <w:r>
        <w:rPr>
          <w:spacing w:val="-5"/>
        </w:rPr>
        <w:t>资产评估专业人员需要了解企业商誉减值测试的</w:t>
      </w:r>
      <w:r>
        <w:rPr>
          <w:spacing w:val="-5"/>
          <w:w w:val="99"/>
        </w:rPr>
        <w:t> </w:t>
      </w:r>
      <w:r>
        <w:rPr>
          <w:spacing w:val="-13"/>
        </w:rPr>
        <w:t>基本程序，理解会计准则中商誉减值测试评估有关会计准则条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8"/>
        </w:rPr>
        <w:t>款与资产评估的关系，具备相应的商誉减值测试评估专业知识，</w:t>
      </w:r>
      <w:r>
        <w:rPr>
          <w:spacing w:val="-146"/>
        </w:rPr>
        <w:t> </w:t>
      </w:r>
      <w:r>
        <w:rPr>
          <w:spacing w:val="-146"/>
        </w:rPr>
      </w:r>
      <w:r>
        <w:rPr>
          <w:spacing w:val="-16"/>
        </w:rPr>
        <w:t>能够胜任商誉减值测试评估业务。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27"/>
          <w:szCs w:val="27"/>
        </w:rPr>
      </w:pPr>
    </w:p>
    <w:p>
      <w:pPr>
        <w:pStyle w:val="BodyText"/>
        <w:tabs>
          <w:tab w:pos="3514" w:val="left" w:leader="none"/>
        </w:tabs>
        <w:spacing w:line="240" w:lineRule="auto" w:before="0"/>
        <w:ind w:left="2302"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第二章</w:t>
        <w:tab/>
      </w:r>
      <w:r>
        <w:rPr>
          <w:rFonts w:ascii="黑体" w:hAnsi="黑体" w:cs="黑体" w:eastAsia="黑体"/>
          <w:spacing w:val="-16"/>
        </w:rPr>
        <w:t>接受委托关注的事项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57" w:firstLine="609"/>
        <w:jc w:val="both"/>
      </w:pPr>
      <w:r>
        <w:rPr>
          <w:rFonts w:ascii="仿宋_GB2312" w:hAnsi="仿宋_GB2312" w:cs="仿宋_GB2312" w:eastAsia="仿宋_GB2312"/>
          <w:b/>
          <w:bCs/>
          <w:spacing w:val="-11"/>
        </w:rPr>
        <w:t>第四条</w:t>
      </w:r>
      <w:r>
        <w:rPr>
          <w:rFonts w:ascii="仿宋_GB2312" w:hAnsi="仿宋_GB2312" w:cs="仿宋_GB2312" w:eastAsia="仿宋_GB2312"/>
          <w:b/>
          <w:bCs/>
          <w:spacing w:val="-25"/>
        </w:rPr>
        <w:t> </w:t>
      </w:r>
      <w:r>
        <w:rPr>
          <w:spacing w:val="-18"/>
        </w:rPr>
        <w:t>资产评估机构承接商誉减值测试评估业务，应当与</w:t>
      </w:r>
      <w:r>
        <w:rPr>
          <w:w w:val="99"/>
        </w:rPr>
        <w:t> </w:t>
      </w:r>
      <w:r>
        <w:rPr>
          <w:spacing w:val="-13"/>
        </w:rPr>
        <w:t>企业沟通商誉减值测试评估目的、评估基准日，以企业委托的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评估对象和评估范围为基础，确定价值类型等评估要素，并在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业务委托合同中予以明确。</w:t>
      </w:r>
    </w:p>
    <w:p>
      <w:pPr>
        <w:pStyle w:val="BodyText"/>
        <w:spacing w:line="357" w:lineRule="auto"/>
        <w:ind w:right="262" w:firstLine="609"/>
        <w:jc w:val="both"/>
      </w:pPr>
      <w:r>
        <w:rPr>
          <w:rFonts w:ascii="仿宋_GB2312" w:hAnsi="仿宋_GB2312" w:cs="仿宋_GB2312" w:eastAsia="仿宋_GB2312"/>
          <w:b/>
          <w:bCs/>
        </w:rPr>
        <w:t>第五条</w:t>
      </w:r>
      <w:r>
        <w:rPr>
          <w:rFonts w:ascii="仿宋_GB2312" w:hAnsi="仿宋_GB2312" w:cs="仿宋_GB2312" w:eastAsia="仿宋_GB2312"/>
          <w:b/>
          <w:bCs/>
          <w:spacing w:val="-30"/>
        </w:rPr>
        <w:t> </w:t>
      </w:r>
      <w:r>
        <w:rPr>
          <w:spacing w:val="-5"/>
        </w:rPr>
        <w:t>资产评估专业人员应当知晓商誉减值测试评估目</w:t>
      </w:r>
      <w:r>
        <w:rPr>
          <w:spacing w:val="-5"/>
          <w:w w:val="99"/>
        </w:rPr>
        <w:t> </w:t>
      </w:r>
      <w:r>
        <w:rPr>
          <w:spacing w:val="-13"/>
        </w:rPr>
        <w:t>的是为企业商誉减值测试确定包含商誉资产组或资产组组合的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可收回金额提供价值参考。</w:t>
      </w:r>
    </w:p>
    <w:p>
      <w:pPr>
        <w:pStyle w:val="BodyText"/>
        <w:spacing w:line="357" w:lineRule="auto" w:before="49"/>
        <w:ind w:left="725" w:right="0" w:firstLine="2"/>
        <w:jc w:val="left"/>
      </w:pPr>
      <w:r>
        <w:rPr>
          <w:rFonts w:ascii="仿宋_GB2312" w:hAnsi="仿宋_GB2312" w:cs="仿宋_GB2312" w:eastAsia="仿宋_GB2312"/>
          <w:b/>
          <w:bCs/>
          <w:spacing w:val="-11"/>
        </w:rPr>
        <w:t>第六条</w:t>
      </w:r>
      <w:r>
        <w:rPr>
          <w:rFonts w:ascii="仿宋_GB2312" w:hAnsi="仿宋_GB2312" w:cs="仿宋_GB2312" w:eastAsia="仿宋_GB2312"/>
          <w:b/>
          <w:bCs/>
          <w:spacing w:val="-22"/>
        </w:rPr>
        <w:t> </w:t>
      </w:r>
      <w:r>
        <w:rPr>
          <w:spacing w:val="-17"/>
        </w:rPr>
        <w:t>商誉减值测试评估基准日通常为资产负债表日。</w:t>
      </w:r>
      <w:r>
        <w:rPr>
          <w:spacing w:val="-155"/>
        </w:rPr>
        <w:t> </w:t>
      </w:r>
      <w:r>
        <w:rPr>
          <w:spacing w:val="-155"/>
        </w:rPr>
      </w:r>
      <w:r>
        <w:rPr>
          <w:spacing w:val="-12"/>
        </w:rPr>
        <w:t>当企业判断包含商誉资产组或资产组组合发生特定减值迹</w:t>
      </w:r>
    </w:p>
    <w:p>
      <w:pPr>
        <w:pStyle w:val="BodyText"/>
        <w:spacing w:line="357" w:lineRule="auto"/>
        <w:ind w:right="261" w:firstLine="0"/>
        <w:jc w:val="both"/>
      </w:pPr>
      <w:r>
        <w:rPr>
          <w:spacing w:val="-13"/>
        </w:rPr>
        <w:t>象而委托资产评估机构进行评估时，资产评估专业人员需要了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解企业确定的评估基准日、特定减值迹象具体表现以及特定减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6"/>
        </w:rPr>
        <w:t>值迹象出现的时点。</w:t>
      </w:r>
    </w:p>
    <w:p>
      <w:pPr>
        <w:pStyle w:val="BodyText"/>
        <w:spacing w:line="240" w:lineRule="auto" w:before="49"/>
        <w:ind w:left="727" w:right="0" w:firstLine="0"/>
        <w:jc w:val="left"/>
      </w:pPr>
      <w:r>
        <w:rPr>
          <w:rFonts w:ascii="仿宋_GB2312" w:hAnsi="仿宋_GB2312" w:cs="仿宋_GB2312" w:eastAsia="仿宋_GB2312"/>
          <w:b/>
          <w:bCs/>
          <w:spacing w:val="-11"/>
        </w:rPr>
        <w:t>第七条</w:t>
      </w:r>
      <w:r>
        <w:rPr>
          <w:rFonts w:ascii="仿宋_GB2312" w:hAnsi="仿宋_GB2312" w:cs="仿宋_GB2312" w:eastAsia="仿宋_GB2312"/>
          <w:b/>
          <w:bCs/>
          <w:spacing w:val="-25"/>
        </w:rPr>
        <w:t> </w:t>
      </w:r>
      <w:r>
        <w:rPr>
          <w:spacing w:val="-18"/>
        </w:rPr>
        <w:t>商誉减值测试评估价值类型是可收回金额。可收回</w:t>
      </w:r>
    </w:p>
    <w:p>
      <w:pPr>
        <w:spacing w:after="0" w:line="240" w:lineRule="auto"/>
        <w:jc w:val="left"/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金额应当根据包含商誉资产组或资产组组合公允价值减去处置</w:t>
      </w:r>
    </w:p>
    <w:p>
      <w:pPr>
        <w:pStyle w:val="BodyText"/>
        <w:spacing w:line="357" w:lineRule="auto" w:before="205"/>
        <w:ind w:right="0" w:firstLine="0"/>
        <w:jc w:val="left"/>
      </w:pPr>
      <w:r>
        <w:rPr/>
        <w:t>费用后的净额与预计未来现金流量的现值两者之间较高者确</w:t>
      </w:r>
      <w:r>
        <w:rPr>
          <w:w w:val="99"/>
        </w:rPr>
        <w:t> </w:t>
      </w:r>
      <w:r>
        <w:rPr>
          <w:spacing w:val="-16"/>
        </w:rPr>
        <w:t>定。</w:t>
      </w:r>
      <w:r>
        <w:rPr/>
      </w:r>
    </w:p>
    <w:p>
      <w:pPr>
        <w:pStyle w:val="BodyText"/>
        <w:spacing w:line="357" w:lineRule="auto"/>
        <w:ind w:right="105"/>
        <w:jc w:val="both"/>
      </w:pPr>
      <w:r>
        <w:rPr>
          <w:spacing w:val="-12"/>
        </w:rPr>
        <w:t>已确信包含商誉资产组或资产组组合公允价值减去处置费</w:t>
      </w:r>
      <w:r>
        <w:rPr>
          <w:w w:val="99"/>
        </w:rPr>
        <w:t> </w:t>
      </w:r>
      <w:r>
        <w:rPr>
          <w:spacing w:val="-13"/>
        </w:rPr>
        <w:t>用后的净额、预计未来现金流量的现值两者中任意一项金额已</w:t>
      </w:r>
      <w:r>
        <w:rPr>
          <w:spacing w:val="-142"/>
        </w:rPr>
        <w:t> </w:t>
      </w:r>
      <w:r>
        <w:rPr>
          <w:spacing w:val="-142"/>
        </w:rPr>
      </w:r>
      <w:r>
        <w:rPr>
          <w:spacing w:val="-18"/>
        </w:rPr>
        <w:t>超过评估对象账面价值时，可以以该金额为依据确定评估结论。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包含商誉资产组或资产组组合的公允价值减去处置费用后</w:t>
      </w:r>
      <w:r>
        <w:rPr>
          <w:w w:val="99"/>
        </w:rPr>
        <w:t> </w:t>
      </w:r>
      <w:r>
        <w:rPr>
          <w:spacing w:val="-13"/>
        </w:rPr>
        <w:t>的净额如果无法可靠估计，可以以预计未来现金流量的现值作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5"/>
        </w:rPr>
        <w:t>为可收回金额。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如果包含商誉资产组或资产组组合可收回金额的评估仅依</w:t>
      </w:r>
      <w:r>
        <w:rPr>
          <w:w w:val="99"/>
        </w:rPr>
        <w:t> </w:t>
      </w:r>
      <w:r>
        <w:rPr>
          <w:spacing w:val="-13"/>
        </w:rPr>
        <w:t>据公允价值减去处置费用后的净额或预计未来现金流量的现值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中一种方式确定，评估结论应当表述为包含商誉的资产组或资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产组组合可收回金额不低于该金额。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27"/>
          <w:szCs w:val="27"/>
        </w:rPr>
      </w:pPr>
    </w:p>
    <w:p>
      <w:pPr>
        <w:pStyle w:val="BodyText"/>
        <w:tabs>
          <w:tab w:pos="1211" w:val="left" w:leader="none"/>
        </w:tabs>
        <w:spacing w:line="240" w:lineRule="auto" w:before="0"/>
        <w:ind w:left="0" w:right="139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第三章</w:t>
        <w:tab/>
      </w:r>
      <w:r>
        <w:rPr>
          <w:rFonts w:ascii="黑体" w:hAnsi="黑体" w:cs="黑体" w:eastAsia="黑体"/>
          <w:spacing w:val="-16"/>
        </w:rPr>
        <w:t>评估对象和评估范围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</w:rPr>
        <w:t>第八条</w:t>
      </w:r>
      <w:r>
        <w:rPr>
          <w:rFonts w:ascii="仿宋_GB2312" w:hAnsi="仿宋_GB2312" w:cs="仿宋_GB2312" w:eastAsia="仿宋_GB2312"/>
          <w:b/>
          <w:bCs/>
          <w:spacing w:val="-18"/>
        </w:rPr>
        <w:t> </w:t>
      </w:r>
      <w:r>
        <w:rPr>
          <w:spacing w:val="-5"/>
        </w:rPr>
        <w:t>商誉减值测试评估对象是包含商誉的资产组或资</w:t>
      </w:r>
      <w:r>
        <w:rPr>
          <w:spacing w:val="-5"/>
          <w:w w:val="99"/>
        </w:rPr>
        <w:t> </w:t>
      </w:r>
      <w:r>
        <w:rPr>
          <w:spacing w:val="-18"/>
        </w:rPr>
        <w:t>产组组合。评估范围包括商誉、商誉相关资产组或资产组组合。</w:t>
      </w:r>
      <w:r>
        <w:rPr>
          <w:spacing w:val="-147"/>
        </w:rPr>
        <w:t> </w:t>
      </w:r>
      <w:r>
        <w:rPr>
          <w:spacing w:val="-147"/>
        </w:rPr>
      </w:r>
      <w:r>
        <w:rPr>
          <w:spacing w:val="-18"/>
        </w:rPr>
        <w:t>其中，商誉是完全商誉，既包括归属于母公司股东权益的商誉，</w:t>
      </w:r>
      <w:r>
        <w:rPr>
          <w:spacing w:val="-146"/>
        </w:rPr>
        <w:t> </w:t>
      </w:r>
      <w:r>
        <w:rPr>
          <w:spacing w:val="-146"/>
        </w:rPr>
      </w:r>
      <w:r>
        <w:rPr>
          <w:spacing w:val="-17"/>
        </w:rPr>
        <w:t>也包括归属于少数股东权益的商誉。</w:t>
      </w:r>
    </w:p>
    <w:p>
      <w:pPr>
        <w:pStyle w:val="BodyText"/>
        <w:spacing w:line="357" w:lineRule="auto"/>
        <w:ind w:right="263" w:firstLine="609"/>
        <w:jc w:val="both"/>
      </w:pPr>
      <w:r>
        <w:rPr>
          <w:rFonts w:ascii="仿宋_GB2312" w:hAnsi="仿宋_GB2312" w:cs="仿宋_GB2312" w:eastAsia="仿宋_GB2312"/>
          <w:b/>
          <w:bCs/>
        </w:rPr>
        <w:t>第九条</w:t>
      </w:r>
      <w:r>
        <w:rPr>
          <w:rFonts w:ascii="仿宋_GB2312" w:hAnsi="仿宋_GB2312" w:cs="仿宋_GB2312" w:eastAsia="仿宋_GB2312"/>
          <w:b/>
          <w:bCs/>
          <w:spacing w:val="-30"/>
        </w:rPr>
        <w:t> </w:t>
      </w:r>
      <w:r>
        <w:rPr>
          <w:spacing w:val="-5"/>
        </w:rPr>
        <w:t>资产评估专业人员需要知晓企业确定商誉相关资</w:t>
      </w:r>
      <w:r>
        <w:rPr>
          <w:spacing w:val="-5"/>
          <w:w w:val="99"/>
        </w:rPr>
        <w:t> </w:t>
      </w:r>
      <w:r>
        <w:rPr>
          <w:spacing w:val="-17"/>
        </w:rPr>
        <w:t>产组或资产组组合时的会计准则内涵，通常包括下列方面：</w:t>
      </w:r>
    </w:p>
    <w:p>
      <w:pPr>
        <w:pStyle w:val="BodyText"/>
        <w:spacing w:line="240" w:lineRule="auto" w:before="49"/>
        <w:ind w:left="725" w:right="0" w:firstLine="0"/>
        <w:jc w:val="left"/>
      </w:pPr>
      <w:r>
        <w:rPr>
          <w:spacing w:val="-12"/>
        </w:rPr>
        <w:t>（一）商誉相关资产组或资产组组合应当是企业可以认定</w:t>
      </w:r>
    </w:p>
    <w:p>
      <w:pPr>
        <w:spacing w:after="0" w:line="240" w:lineRule="auto"/>
        <w:jc w:val="left"/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的最小资产组或最小资产组组合，其产生的现金流入应当基本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16"/>
        </w:rPr>
        <w:t>独立于其他资产或资产组。</w:t>
      </w:r>
    </w:p>
    <w:p>
      <w:pPr>
        <w:pStyle w:val="BodyText"/>
        <w:spacing w:line="357" w:lineRule="auto" w:before="205"/>
        <w:ind w:right="114"/>
        <w:jc w:val="both"/>
      </w:pPr>
      <w:r>
        <w:rPr>
          <w:spacing w:val="-12"/>
        </w:rPr>
        <w:t>（二）商誉相关资产组或资产组组合应当是能够从企业合</w:t>
      </w:r>
      <w:r>
        <w:rPr>
          <w:w w:val="99"/>
        </w:rPr>
        <w:t> </w:t>
      </w:r>
      <w:r>
        <w:rPr>
          <w:spacing w:val="-17"/>
        </w:rPr>
        <w:t>并的协同效应中受益的资产组或资产组组合。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（三）包含商誉资产组或资产组组合账面价值通常不应当</w:t>
      </w:r>
      <w:r>
        <w:rPr>
          <w:w w:val="99"/>
        </w:rPr>
        <w:t> </w:t>
      </w:r>
      <w:r>
        <w:rPr>
          <w:spacing w:val="-13"/>
        </w:rPr>
        <w:t>包括已确认负债的账面价值，但如果不考虑该负债金额就无法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确定资产组可收回金额的除外。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（四）商誉相关资产组的认定应当考虑企业管理层管理生</w:t>
      </w:r>
      <w:r>
        <w:rPr>
          <w:w w:val="99"/>
        </w:rPr>
        <w:t> </w:t>
      </w:r>
      <w:r>
        <w:rPr>
          <w:spacing w:val="-13"/>
        </w:rPr>
        <w:t>产经营活动的方式（如是按照生产线、业务种类还是按照地区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23"/>
        </w:rPr>
        <w:t>或者区域等），以及企业管理层对资产的持续使用或者处置的决</w:t>
      </w:r>
      <w:r>
        <w:rPr>
          <w:spacing w:val="-153"/>
        </w:rPr>
        <w:t> </w:t>
      </w:r>
      <w:r>
        <w:rPr>
          <w:spacing w:val="-153"/>
        </w:rPr>
      </w:r>
      <w:r>
        <w:rPr>
          <w:spacing w:val="-14"/>
        </w:rPr>
        <w:t>策方式等。</w:t>
      </w:r>
    </w:p>
    <w:p>
      <w:pPr>
        <w:pStyle w:val="BodyText"/>
        <w:spacing w:line="357" w:lineRule="auto" w:before="49"/>
        <w:ind w:right="114"/>
        <w:jc w:val="both"/>
      </w:pPr>
      <w:r>
        <w:rPr>
          <w:spacing w:val="-12"/>
        </w:rPr>
        <w:t>（五）商誉相关资产组或资产组组合不应当大于按照《企</w:t>
      </w:r>
      <w:r>
        <w:rPr>
          <w:w w:val="99"/>
        </w:rPr>
        <w:t> </w:t>
      </w:r>
      <w:r>
        <w:rPr>
          <w:spacing w:val="-15"/>
        </w:rPr>
        <w:t>业会计准则第</w:t>
      </w:r>
      <w:r>
        <w:rPr>
          <w:spacing w:val="-89"/>
        </w:rPr>
        <w:t> </w:t>
      </w:r>
      <w:r>
        <w:rPr>
          <w:rFonts w:ascii="Times New Roman" w:hAnsi="Times New Roman" w:cs="Times New Roman" w:eastAsia="Times New Roman"/>
          <w:spacing w:val="-5"/>
        </w:rPr>
        <w:t>35 </w:t>
      </w:r>
      <w:r>
        <w:rPr>
          <w:spacing w:val="-16"/>
        </w:rPr>
        <w:t>号</w:t>
      </w:r>
      <w:r>
        <w:rPr>
          <w:rFonts w:ascii="Times New Roman" w:hAnsi="Times New Roman" w:cs="Times New Roman" w:eastAsia="Times New Roman"/>
          <w:spacing w:val="-16"/>
        </w:rPr>
        <w:t>——</w:t>
      </w:r>
      <w:r>
        <w:rPr>
          <w:spacing w:val="-16"/>
        </w:rPr>
        <w:t>分部报告》所确定的报告分部。</w:t>
      </w:r>
    </w:p>
    <w:p>
      <w:pPr>
        <w:pStyle w:val="BodyText"/>
        <w:spacing w:line="357" w:lineRule="auto" w:before="7"/>
        <w:ind w:right="114"/>
        <w:jc w:val="both"/>
      </w:pPr>
      <w:r>
        <w:rPr>
          <w:spacing w:val="-12"/>
        </w:rPr>
        <w:t>商誉相关资产组一经确定，各个会计期间应当保持一致，</w:t>
      </w:r>
      <w:r>
        <w:rPr>
          <w:w w:val="99"/>
        </w:rPr>
        <w:t> </w:t>
      </w:r>
      <w:r>
        <w:rPr>
          <w:spacing w:val="-13"/>
        </w:rPr>
        <w:t>不得随意变更。如需变更，企业管理层应当证明该变更是合理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的。</w:t>
      </w:r>
      <w:r>
        <w:rPr/>
      </w:r>
    </w:p>
    <w:p>
      <w:pPr>
        <w:pStyle w:val="BodyText"/>
        <w:spacing w:line="357" w:lineRule="auto" w:before="49"/>
        <w:ind w:right="122" w:firstLine="609"/>
        <w:jc w:val="both"/>
      </w:pPr>
      <w:r>
        <w:rPr>
          <w:rFonts w:ascii="仿宋_GB2312" w:hAnsi="仿宋_GB2312" w:cs="仿宋_GB2312" w:eastAsia="仿宋_GB2312"/>
          <w:b/>
          <w:bCs/>
        </w:rPr>
        <w:t>第十条</w:t>
      </w:r>
      <w:r>
        <w:rPr>
          <w:rFonts w:ascii="仿宋_GB2312" w:hAnsi="仿宋_GB2312" w:cs="仿宋_GB2312" w:eastAsia="仿宋_GB2312"/>
          <w:b/>
          <w:bCs/>
          <w:spacing w:val="-30"/>
        </w:rPr>
        <w:t> </w:t>
      </w:r>
      <w:r>
        <w:rPr>
          <w:spacing w:val="-5"/>
        </w:rPr>
        <w:t>资产评估专业人员应当对企业确定的商誉减值测</w:t>
      </w:r>
      <w:r>
        <w:rPr>
          <w:spacing w:val="-5"/>
          <w:w w:val="99"/>
        </w:rPr>
        <w:t> </w:t>
      </w:r>
      <w:r>
        <w:rPr>
          <w:spacing w:val="-13"/>
        </w:rPr>
        <w:t>试评估范围进行核实。通常商誉减值测试评估范围符合下列要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求：</w:t>
      </w:r>
      <w:r>
        <w:rPr/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（一）包含商誉资产组或资产组组合通常情况下不包括流</w:t>
      </w:r>
      <w:r>
        <w:rPr>
          <w:w w:val="99"/>
        </w:rPr>
        <w:t> </w:t>
      </w:r>
      <w:r>
        <w:rPr>
          <w:spacing w:val="-13"/>
        </w:rPr>
        <w:t>动资产、流动负债，但如果不考虑相关资产和负债就无法合理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确定评估对象可收回金额的除外。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660"/>
        </w:sectPr>
      </w:pPr>
    </w:p>
    <w:p>
      <w:pPr>
        <w:pStyle w:val="BodyText"/>
        <w:spacing w:line="392" w:lineRule="exact" w:before="0"/>
        <w:ind w:right="0"/>
        <w:jc w:val="both"/>
      </w:pPr>
      <w:r>
        <w:rPr>
          <w:spacing w:val="-12"/>
        </w:rPr>
        <w:t>（二）评估范围不应当包括与预计未来现金流量无关的资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17"/>
        </w:rPr>
        <w:t>产、负债，如溢余资产或负债、非经营性资产或负债。</w:t>
      </w:r>
    </w:p>
    <w:p>
      <w:pPr>
        <w:pStyle w:val="BodyText"/>
        <w:spacing w:line="357" w:lineRule="auto" w:before="205"/>
        <w:ind w:right="254"/>
        <w:jc w:val="both"/>
      </w:pPr>
      <w:r>
        <w:rPr>
          <w:spacing w:val="-12"/>
        </w:rPr>
        <w:t>（三）评估范围不应当包括付息债务等已确认负债，但如</w:t>
      </w:r>
      <w:r>
        <w:rPr>
          <w:w w:val="99"/>
        </w:rPr>
        <w:t> </w:t>
      </w:r>
      <w:r>
        <w:rPr>
          <w:spacing w:val="-17"/>
        </w:rPr>
        <w:t>果不考虑该负债就无法确定评估对象可收回金额的除外。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（四）与包含商誉资产组或资产组组合业务相关的开发过</w:t>
      </w:r>
      <w:r>
        <w:rPr>
          <w:w w:val="99"/>
        </w:rPr>
        <w:t> </w:t>
      </w:r>
      <w:r>
        <w:rPr>
          <w:spacing w:val="-13"/>
        </w:rPr>
        <w:t>程中的在建工程、无形资产，如果达到预定生产能力尚需投资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金额，完工后现金流可以合理计量，且经企业确认是与商誉相</w:t>
      </w:r>
      <w:r>
        <w:rPr>
          <w:spacing w:val="-144"/>
        </w:rPr>
        <w:t> </w:t>
      </w:r>
      <w:r>
        <w:rPr>
          <w:spacing w:val="-144"/>
        </w:rPr>
      </w:r>
      <w:r>
        <w:rPr>
          <w:spacing w:val="-16"/>
        </w:rPr>
        <w:t>关的资产组，应当纳入评估范围。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（五）商誉相关资产组或资产组组合的账面价值应当与企</w:t>
      </w:r>
      <w:r>
        <w:rPr>
          <w:w w:val="99"/>
        </w:rPr>
        <w:t> </w:t>
      </w:r>
      <w:r>
        <w:rPr>
          <w:spacing w:val="-16"/>
        </w:rPr>
        <w:t>业合并报表口径保持一致。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资产评估专业人员需要获取企业提供的评估范围及其对应</w:t>
      </w:r>
      <w:r>
        <w:rPr>
          <w:w w:val="99"/>
        </w:rPr>
        <w:t> </w:t>
      </w:r>
      <w:r>
        <w:rPr>
          <w:spacing w:val="-13"/>
        </w:rPr>
        <w:t>的资产账面价值、资产类别、资产数量清单，并与企业、审计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3"/>
        </w:rPr>
        <w:t>机构就包含商誉的资产组或资产组组合的范围进行沟通，取得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企业、审计机构确认。如果资产评估专业人员与企业、审计机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构意见不一致，可以采纳企业、审计机构的意见。</w:t>
      </w:r>
    </w:p>
    <w:p>
      <w:pPr>
        <w:spacing w:line="240" w:lineRule="auto" w:before="8"/>
        <w:rPr>
          <w:rFonts w:ascii="仿宋_GB2312" w:hAnsi="仿宋_GB2312" w:cs="仿宋_GB2312" w:eastAsia="仿宋_GB2312"/>
          <w:sz w:val="27"/>
          <w:szCs w:val="27"/>
        </w:rPr>
      </w:pPr>
    </w:p>
    <w:p>
      <w:pPr>
        <w:pStyle w:val="BodyText"/>
        <w:tabs>
          <w:tab w:pos="3514" w:val="left" w:leader="none"/>
        </w:tabs>
        <w:spacing w:line="240" w:lineRule="auto" w:before="0"/>
        <w:ind w:left="2302" w:right="0" w:firstLine="0"/>
        <w:jc w:val="left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第四章</w:t>
        <w:tab/>
      </w:r>
      <w:r>
        <w:rPr>
          <w:rFonts w:ascii="黑体" w:hAnsi="黑体" w:cs="黑体" w:eastAsia="黑体"/>
          <w:spacing w:val="-16"/>
        </w:rPr>
        <w:t>现场调查和核查验证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  <w:spacing w:val="-3"/>
        </w:rPr>
        <w:t>第十一条</w:t>
      </w:r>
      <w:r>
        <w:rPr>
          <w:rFonts w:ascii="仿宋_GB2312" w:hAnsi="仿宋_GB2312" w:cs="仿宋_GB2312" w:eastAsia="仿宋_GB2312"/>
          <w:b/>
          <w:bCs/>
          <w:spacing w:val="-14"/>
        </w:rPr>
        <w:t> </w:t>
      </w:r>
      <w:r>
        <w:rPr>
          <w:spacing w:val="-5"/>
        </w:rPr>
        <w:t>资产评估专业人员应当对包含商誉资产组或资</w:t>
      </w:r>
      <w:r>
        <w:rPr>
          <w:spacing w:val="-5"/>
          <w:w w:val="99"/>
        </w:rPr>
        <w:t> </w:t>
      </w:r>
      <w:r>
        <w:rPr>
          <w:spacing w:val="-18"/>
        </w:rPr>
        <w:t>产组组合进行现场调查，并对收集的资料进行必要的核查验证，</w:t>
      </w:r>
      <w:r>
        <w:rPr>
          <w:spacing w:val="-147"/>
        </w:rPr>
        <w:t> </w:t>
      </w:r>
      <w:r>
        <w:rPr>
          <w:spacing w:val="-147"/>
        </w:rPr>
      </w:r>
      <w:r>
        <w:rPr>
          <w:spacing w:val="-17"/>
        </w:rPr>
        <w:t>以了解包含商誉资产组或资产组组合独立产生现金流的能力。</w:t>
      </w:r>
    </w:p>
    <w:p>
      <w:pPr>
        <w:pStyle w:val="BodyText"/>
        <w:spacing w:line="357" w:lineRule="auto"/>
        <w:ind w:right="26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第十二条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资产评估专业人员应当关注企业提供的包含商</w:t>
      </w:r>
      <w:r>
        <w:rPr>
          <w:spacing w:val="-5"/>
          <w:w w:val="99"/>
        </w:rPr>
        <w:t> </w:t>
      </w:r>
      <w:r>
        <w:rPr>
          <w:spacing w:val="-13"/>
        </w:rPr>
        <w:t>誉资产组或资产组组合与商誉初始确认、以前会计期间商誉减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值测试时是否一致，如果不一致，应当提示企业说明包含商誉</w:t>
      </w:r>
    </w:p>
    <w:p>
      <w:pPr>
        <w:pStyle w:val="BodyText"/>
        <w:spacing w:line="357" w:lineRule="auto" w:before="205"/>
        <w:ind w:right="0" w:firstLine="0"/>
        <w:jc w:val="left"/>
      </w:pPr>
      <w:r>
        <w:rPr>
          <w:spacing w:val="-13"/>
        </w:rPr>
        <w:t>资产组或资产组组合变动的原因及其是否符合《企业会计准则</w:t>
      </w:r>
      <w:r>
        <w:rPr>
          <w:spacing w:val="-145"/>
        </w:rPr>
        <w:t> </w:t>
      </w:r>
      <w:r>
        <w:rPr>
          <w:spacing w:val="-145"/>
        </w:rPr>
      </w:r>
      <w:r>
        <w:rPr/>
        <w:t>第</w:t>
      </w:r>
      <w:r>
        <w:rPr>
          <w:spacing w:val="-97"/>
        </w:rPr>
        <w:t> </w:t>
      </w:r>
      <w:r>
        <w:rPr>
          <w:rFonts w:ascii="Times New Roman" w:hAnsi="Times New Roman" w:cs="Times New Roman" w:eastAsia="Times New Roman"/>
        </w:rPr>
        <w:t>8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spacing w:val="-15"/>
        </w:rPr>
        <w:t>号</w:t>
      </w:r>
      <w:r>
        <w:rPr>
          <w:rFonts w:ascii="Times New Roman" w:hAnsi="Times New Roman" w:cs="Times New Roman" w:eastAsia="Times New Roman"/>
          <w:spacing w:val="-15"/>
        </w:rPr>
        <w:t>——</w:t>
      </w:r>
      <w:r>
        <w:rPr>
          <w:spacing w:val="-15"/>
        </w:rPr>
        <w:t>资产减值》的相关规定。</w:t>
      </w:r>
    </w:p>
    <w:p>
      <w:pPr>
        <w:pStyle w:val="BodyText"/>
        <w:spacing w:line="357" w:lineRule="auto" w:before="7"/>
        <w:ind w:right="12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第十三条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资产评估专业人员对包含商誉资产组或资产组</w:t>
      </w:r>
      <w:r>
        <w:rPr>
          <w:spacing w:val="-5"/>
          <w:w w:val="99"/>
        </w:rPr>
        <w:t> </w:t>
      </w:r>
      <w:r>
        <w:rPr>
          <w:spacing w:val="-17"/>
        </w:rPr>
        <w:t>组合独立产生现金流能力的核查，通常包括下列四个方面：</w:t>
      </w:r>
    </w:p>
    <w:p>
      <w:pPr>
        <w:pStyle w:val="BodyText"/>
        <w:spacing w:line="357" w:lineRule="auto" w:before="49"/>
        <w:ind w:right="114"/>
        <w:jc w:val="both"/>
      </w:pPr>
      <w:r>
        <w:rPr>
          <w:spacing w:val="-12"/>
        </w:rPr>
        <w:t>（一）关注法律权属。资产评估专业人员可以通过审阅、</w:t>
      </w:r>
      <w:r>
        <w:rPr>
          <w:w w:val="99"/>
        </w:rPr>
        <w:t> </w:t>
      </w:r>
      <w:r>
        <w:rPr>
          <w:spacing w:val="-13"/>
        </w:rPr>
        <w:t>核对或者访谈等手段，对评估范围内主要资产权属是否存在权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属不清、存在瑕疵，权属关系复杂、权属资料不完备等予以关</w:t>
      </w:r>
      <w:r>
        <w:rPr>
          <w:spacing w:val="-139"/>
        </w:rPr>
        <w:t> </w:t>
      </w:r>
      <w:r>
        <w:rPr>
          <w:spacing w:val="-139"/>
        </w:rPr>
      </w:r>
      <w:r>
        <w:rPr>
          <w:spacing w:val="-17"/>
        </w:rPr>
        <w:t>注，判断其对评估对象产生现金流能力的影响。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（二）关注物理状况。资产评估专业人员可以通过现场勘</w:t>
      </w:r>
      <w:r>
        <w:rPr>
          <w:w w:val="99"/>
        </w:rPr>
        <w:t> </w:t>
      </w:r>
      <w:r>
        <w:rPr>
          <w:spacing w:val="-13"/>
        </w:rPr>
        <w:t>查、实地调查或者询问等手段，对评估范围内主要资产的实际</w:t>
      </w:r>
      <w:r>
        <w:rPr>
          <w:spacing w:val="-153"/>
        </w:rPr>
        <w:t> </w:t>
      </w:r>
      <w:r>
        <w:rPr>
          <w:spacing w:val="-153"/>
        </w:rPr>
      </w:r>
      <w:r>
        <w:rPr>
          <w:spacing w:val="-13"/>
        </w:rPr>
        <w:t>使用状况予以关注，判断主要资产物理状况与其产生现金流的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2"/>
        </w:rPr>
        <w:t>关系。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（三）关注技术状况。资产评估专业人员可以通过查阅文</w:t>
      </w:r>
      <w:r>
        <w:rPr>
          <w:w w:val="99"/>
        </w:rPr>
        <w:t> </w:t>
      </w:r>
      <w:r>
        <w:rPr>
          <w:spacing w:val="-13"/>
        </w:rPr>
        <w:t>件、访谈、核对或者利用专家工作等手段，对评估范围主要资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产生产技术水平予以关注，判断主要资产技术竞争力水平对其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产生现金流的影响。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（四）关注经济状况。资产评估专业人员可以通过历史财</w:t>
      </w:r>
      <w:r>
        <w:rPr>
          <w:w w:val="99"/>
        </w:rPr>
        <w:t> </w:t>
      </w:r>
      <w:r>
        <w:rPr>
          <w:spacing w:val="-13"/>
        </w:rPr>
        <w:t>务数据分析、核对或者访谈等手段，关注评估范围内主要资产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与其产生现金流能力的关系。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27"/>
          <w:szCs w:val="27"/>
        </w:rPr>
      </w:pPr>
    </w:p>
    <w:p>
      <w:pPr>
        <w:pStyle w:val="BodyText"/>
        <w:tabs>
          <w:tab w:pos="1211" w:val="left" w:leader="none"/>
        </w:tabs>
        <w:spacing w:line="240" w:lineRule="auto" w:before="0"/>
        <w:ind w:left="0" w:right="1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第五章</w:t>
        <w:tab/>
      </w:r>
      <w:r>
        <w:rPr>
          <w:rFonts w:ascii="黑体" w:hAnsi="黑体" w:cs="黑体" w:eastAsia="黑体"/>
          <w:spacing w:val="-13"/>
        </w:rPr>
        <w:t>评估方法</w:t>
      </w:r>
    </w:p>
    <w:p>
      <w:pPr>
        <w:spacing w:after="0" w:line="240" w:lineRule="auto"/>
        <w:jc w:val="center"/>
        <w:rPr>
          <w:rFonts w:ascii="黑体" w:hAnsi="黑体" w:cs="黑体" w:eastAsia="黑体"/>
        </w:rPr>
        <w:sectPr>
          <w:pgSz w:w="11910" w:h="16840"/>
          <w:pgMar w:header="0" w:footer="1114" w:top="1500" w:bottom="1300" w:left="1680" w:right="1660"/>
        </w:sectPr>
      </w:pPr>
    </w:p>
    <w:p>
      <w:pPr>
        <w:pStyle w:val="BodyText"/>
        <w:spacing w:line="392" w:lineRule="exact" w:before="0"/>
        <w:ind w:right="0" w:firstLine="609"/>
        <w:jc w:val="both"/>
      </w:pPr>
      <w:r>
        <w:rPr>
          <w:rFonts w:ascii="仿宋_GB2312" w:hAnsi="仿宋_GB2312" w:cs="仿宋_GB2312" w:eastAsia="仿宋_GB2312"/>
          <w:b/>
          <w:bCs/>
          <w:spacing w:val="-12"/>
        </w:rPr>
        <w:t>第十四条</w:t>
      </w:r>
      <w:r>
        <w:rPr>
          <w:rFonts w:ascii="仿宋_GB2312" w:hAnsi="仿宋_GB2312" w:cs="仿宋_GB2312" w:eastAsia="仿宋_GB2312"/>
          <w:b/>
          <w:bCs/>
          <w:spacing w:val="-9"/>
        </w:rPr>
        <w:t> </w:t>
      </w:r>
      <w:r>
        <w:rPr>
          <w:spacing w:val="-19"/>
        </w:rPr>
        <w:t>执行商誉减值测试评估业务，资产评估专业人员</w:t>
      </w:r>
    </w:p>
    <w:p>
      <w:pPr>
        <w:pStyle w:val="BodyText"/>
        <w:spacing w:line="357" w:lineRule="auto" w:before="205"/>
        <w:ind w:right="262" w:firstLine="0"/>
        <w:jc w:val="both"/>
      </w:pPr>
      <w:r>
        <w:rPr>
          <w:spacing w:val="-13"/>
        </w:rPr>
        <w:t>应当根据企业委托评估目的、价值类型、资料收集情况、数据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来源等，参照会计准则相关规定，考虑评估方法适用前提，选</w:t>
      </w:r>
      <w:r>
        <w:rPr>
          <w:spacing w:val="-144"/>
        </w:rPr>
        <w:t> </w:t>
      </w:r>
      <w:r>
        <w:rPr>
          <w:spacing w:val="-144"/>
        </w:rPr>
      </w:r>
      <w:r>
        <w:rPr>
          <w:spacing w:val="-16"/>
        </w:rPr>
        <w:t>择恰当的评估方法。</w:t>
      </w:r>
    </w:p>
    <w:p>
      <w:pPr>
        <w:pStyle w:val="BodyText"/>
        <w:spacing w:line="357" w:lineRule="auto"/>
        <w:ind w:right="26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第十五条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资产评估专业人员应当知晓商誉减值测试评估</w:t>
      </w:r>
      <w:r>
        <w:rPr>
          <w:spacing w:val="-5"/>
          <w:w w:val="99"/>
        </w:rPr>
        <w:t> </w:t>
      </w:r>
      <w:r>
        <w:rPr>
          <w:spacing w:val="-13"/>
        </w:rPr>
        <w:t>方法应当与以前会计期间商誉减值测试采用的评估方法保持一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致，除非有证据显示变更后的评估方法得出的评估结论更具合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理性，或者因以前会计期间采用评估方法依据的市场数据发生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重大变化而不再适用。</w:t>
      </w:r>
    </w:p>
    <w:p>
      <w:pPr>
        <w:pStyle w:val="BodyText"/>
        <w:spacing w:line="357" w:lineRule="auto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  <w:spacing w:val="-3"/>
        </w:rPr>
        <w:t>第十六条</w:t>
      </w:r>
      <w:r>
        <w:rPr>
          <w:rFonts w:ascii="仿宋_GB2312" w:hAnsi="仿宋_GB2312" w:cs="仿宋_GB2312" w:eastAsia="仿宋_GB2312"/>
          <w:b/>
          <w:bCs/>
          <w:spacing w:val="-14"/>
        </w:rPr>
        <w:t> </w:t>
      </w:r>
      <w:r>
        <w:rPr>
          <w:spacing w:val="-5"/>
        </w:rPr>
        <w:t>商誉减值测试评估需要计算公允价值减去处置</w:t>
      </w:r>
      <w:r>
        <w:rPr>
          <w:spacing w:val="-5"/>
          <w:w w:val="99"/>
        </w:rPr>
        <w:t> </w:t>
      </w:r>
      <w:r>
        <w:rPr>
          <w:spacing w:val="-18"/>
        </w:rPr>
        <w:t>费用后的净额时，资产评估专业人员可以采用市场法、收益法、</w:t>
      </w:r>
      <w:r>
        <w:rPr>
          <w:spacing w:val="-148"/>
        </w:rPr>
        <w:t> </w:t>
      </w:r>
      <w:r>
        <w:rPr>
          <w:spacing w:val="-148"/>
        </w:rPr>
      </w:r>
      <w:r>
        <w:rPr>
          <w:spacing w:val="-17"/>
        </w:rPr>
        <w:t>成本法计算包含商誉资产组或资产组组合的公允价值。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（一）采用市场法计算包含商誉资产组或资产组组合公允</w:t>
      </w:r>
      <w:r>
        <w:rPr>
          <w:w w:val="99"/>
        </w:rPr>
        <w:t> </w:t>
      </w:r>
      <w:r>
        <w:rPr>
          <w:spacing w:val="-13"/>
        </w:rPr>
        <w:t>价值时，资产评估专业人员需要关注可比对象实际交易所在市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场和评估对象模拟有序交易所在的主要市场或最有利市场是否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一致。若选择从事相似业务的上市公司作为可比对象，需要知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晓作为资产组或资产组组合的评估对象与作为股权的可比上市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公司在资产性质及价值内涵方面的差异，并在计算价值比率时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5"/>
        </w:rPr>
        <w:t>进行相应调整。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（二）采用收益法计算包含商誉资产组或资产组组合公允</w:t>
      </w:r>
      <w:r>
        <w:rPr>
          <w:w w:val="99"/>
        </w:rPr>
        <w:t> </w:t>
      </w:r>
      <w:r>
        <w:rPr>
          <w:spacing w:val="-13"/>
        </w:rPr>
        <w:t>价值时，资产评估专业人员应当从主要市场（最有利市场）中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市场参与者的角度确定评估对象的最佳用途，并考虑其对评估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对象未来收益预测的影响。通常情况下，评估对象的现行用途</w:t>
      </w:r>
    </w:p>
    <w:p>
      <w:pPr>
        <w:pStyle w:val="BodyText"/>
        <w:spacing w:line="357" w:lineRule="auto" w:before="205"/>
        <w:ind w:right="0" w:firstLine="0"/>
        <w:jc w:val="left"/>
      </w:pPr>
      <w:r>
        <w:rPr>
          <w:spacing w:val="-13"/>
        </w:rPr>
        <w:t>可以视为最佳用途，除非市场因素或者其他因素表明市场参与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者按照其他用途使用该资产可以实现价值最大化。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（三）采用成本法计算包含商誉资产组或资产组组合公允</w:t>
      </w:r>
      <w:r>
        <w:rPr>
          <w:w w:val="99"/>
        </w:rPr>
        <w:t> </w:t>
      </w:r>
      <w:r>
        <w:rPr>
          <w:spacing w:val="-13"/>
        </w:rPr>
        <w:t>价值时，由于商誉无法单独评估，该方法通常仅适用于资产组</w:t>
      </w:r>
      <w:r>
        <w:rPr>
          <w:spacing w:val="-141"/>
        </w:rPr>
        <w:t> </w:t>
      </w:r>
      <w:r>
        <w:rPr>
          <w:spacing w:val="-141"/>
        </w:rPr>
      </w:r>
      <w:r>
        <w:rPr>
          <w:spacing w:val="-13"/>
        </w:rPr>
        <w:t>部分资产公允价值高于评估对象账面价值的特殊情形。在此情</w:t>
      </w:r>
      <w:r>
        <w:rPr>
          <w:spacing w:val="-140"/>
        </w:rPr>
        <w:t> </w:t>
      </w:r>
      <w:r>
        <w:rPr>
          <w:spacing w:val="-140"/>
        </w:rPr>
      </w:r>
      <w:r>
        <w:rPr>
          <w:spacing w:val="-13"/>
        </w:rPr>
        <w:t>形下，资产评估专业人员需要取得企业对商誉资产组或资产组</w:t>
      </w:r>
      <w:r>
        <w:rPr>
          <w:spacing w:val="-142"/>
        </w:rPr>
        <w:t> </w:t>
      </w:r>
      <w:r>
        <w:rPr>
          <w:spacing w:val="-142"/>
        </w:rPr>
      </w:r>
      <w:r>
        <w:rPr>
          <w:spacing w:val="-13"/>
        </w:rPr>
        <w:t>组合价值可以通过未来运营得以全额收回的承诺，并在资产评</w:t>
      </w:r>
      <w:r>
        <w:rPr>
          <w:spacing w:val="-142"/>
        </w:rPr>
        <w:t> </w:t>
      </w:r>
      <w:r>
        <w:rPr>
          <w:spacing w:val="-142"/>
        </w:rPr>
      </w:r>
      <w:r>
        <w:rPr>
          <w:spacing w:val="-17"/>
        </w:rPr>
        <w:t>估报告中提示评估结论仅在此前提下成立。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公允价值减去处置费用后的净额计算中，资产评估专业人</w:t>
      </w:r>
      <w:r>
        <w:rPr>
          <w:w w:val="99"/>
        </w:rPr>
        <w:t> </w:t>
      </w:r>
      <w:r>
        <w:rPr>
          <w:spacing w:val="-13"/>
        </w:rPr>
        <w:t>员通常需要考虑的处置费用包括与评估对象处置有关的法律费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5"/>
        </w:rPr>
        <w:t>用、相关税费等。</w:t>
      </w:r>
    </w:p>
    <w:p>
      <w:pPr>
        <w:pStyle w:val="BodyText"/>
        <w:spacing w:line="357" w:lineRule="auto"/>
        <w:ind w:right="121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第十七条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商誉减值测试评估需要计算预计未来现金流量</w:t>
      </w:r>
      <w:r>
        <w:rPr>
          <w:spacing w:val="-5"/>
          <w:w w:val="99"/>
        </w:rPr>
        <w:t> </w:t>
      </w:r>
      <w:r>
        <w:rPr>
          <w:spacing w:val="-13"/>
        </w:rPr>
        <w:t>的现值时，资产评估专业人员应当取得商誉相关资产组或资产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组组合所在企业管理层最近批准的包含商誉资产组或资产组组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合的财务预测数据，访谈企业相关人员、了解企业管理层确定</w:t>
      </w:r>
      <w:r>
        <w:rPr>
          <w:spacing w:val="-142"/>
        </w:rPr>
        <w:t> </w:t>
      </w:r>
      <w:r>
        <w:rPr>
          <w:spacing w:val="-142"/>
        </w:rPr>
      </w:r>
      <w:r>
        <w:rPr>
          <w:spacing w:val="-13"/>
        </w:rPr>
        <w:t>的评估假设内容和依据，结合企业内部、外部经营环境，分析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历史财务数据，判断企业财务预测数据的可行性。以评估对象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账面价值确定基础与可收回金额确定方式一致性为原则，计算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7"/>
        </w:rPr>
        <w:t>包含商誉资产组或资产组组合预计未来现金流量的现值。</w:t>
      </w:r>
    </w:p>
    <w:p>
      <w:pPr>
        <w:pStyle w:val="BodyText"/>
        <w:spacing w:line="357" w:lineRule="auto"/>
        <w:ind w:right="112"/>
        <w:jc w:val="both"/>
      </w:pPr>
      <w:r>
        <w:rPr>
          <w:spacing w:val="-12"/>
        </w:rPr>
        <w:t>对取得的经管理层批准的财务预测数据进行核查验证时，</w:t>
      </w:r>
      <w:r>
        <w:rPr>
          <w:w w:val="99"/>
        </w:rPr>
        <w:t> </w:t>
      </w:r>
      <w:r>
        <w:rPr>
          <w:spacing w:val="-13"/>
        </w:rPr>
        <w:t>如果企业未提供重要参数确定的依据，资产评估专业人员需要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66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判断其对评估结论的影响。如果构成重大影响，不得出具资产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14"/>
        </w:rPr>
        <w:t>评估报告。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39"/>
          <w:szCs w:val="39"/>
        </w:rPr>
      </w:pPr>
    </w:p>
    <w:p>
      <w:pPr>
        <w:pStyle w:val="BodyText"/>
        <w:tabs>
          <w:tab w:pos="1211" w:val="left" w:leader="none"/>
        </w:tabs>
        <w:spacing w:line="240" w:lineRule="auto" w:before="0"/>
        <w:ind w:left="0" w:right="139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第六章</w:t>
        <w:tab/>
      </w:r>
      <w:r>
        <w:rPr>
          <w:rFonts w:ascii="黑体" w:hAnsi="黑体" w:cs="黑体" w:eastAsia="黑体"/>
          <w:spacing w:val="-13"/>
        </w:rPr>
        <w:t>评估参数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0" w:firstLine="609"/>
        <w:jc w:val="left"/>
      </w:pPr>
      <w:r>
        <w:rPr>
          <w:rFonts w:ascii="仿宋_GB2312" w:hAnsi="仿宋_GB2312" w:cs="仿宋_GB2312" w:eastAsia="仿宋_GB2312"/>
          <w:b/>
          <w:bCs/>
          <w:spacing w:val="-3"/>
        </w:rPr>
        <w:t>第十八条</w:t>
      </w:r>
      <w:r>
        <w:rPr>
          <w:rFonts w:ascii="仿宋_GB2312" w:hAnsi="仿宋_GB2312" w:cs="仿宋_GB2312" w:eastAsia="仿宋_GB2312"/>
          <w:b/>
          <w:bCs/>
          <w:spacing w:val="-14"/>
        </w:rPr>
        <w:t> </w:t>
      </w:r>
      <w:r>
        <w:rPr>
          <w:spacing w:val="-5"/>
        </w:rPr>
        <w:t>资产评估专业人员应当关注企业提供的预计未</w:t>
      </w:r>
      <w:r>
        <w:rPr>
          <w:spacing w:val="-5"/>
          <w:w w:val="99"/>
        </w:rPr>
        <w:t> </w:t>
      </w:r>
      <w:r>
        <w:rPr>
          <w:spacing w:val="-13"/>
        </w:rPr>
        <w:t>来现金流量的预测基础是否与包含商誉资产组或资产组组合的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29"/>
        </w:rPr>
        <w:t>账面价值确定基础一致，即二者内涵需对应相同的资产（负债），</w:t>
      </w:r>
      <w:r>
        <w:rPr>
          <w:spacing w:val="-130"/>
        </w:rPr>
        <w:t> </w:t>
      </w:r>
      <w:r>
        <w:rPr>
          <w:spacing w:val="-130"/>
        </w:rPr>
      </w:r>
      <w:r>
        <w:rPr>
          <w:spacing w:val="-13"/>
        </w:rPr>
        <w:t>按照与包含商誉资产组或资产组组合内资产（负债）一致的基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础预测未来现金流量。</w:t>
      </w:r>
    </w:p>
    <w:p>
      <w:pPr>
        <w:pStyle w:val="BodyText"/>
        <w:spacing w:line="357" w:lineRule="auto"/>
        <w:ind w:right="261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第十九条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资产评估专业人员需要关注企业提供的预计未</w:t>
      </w:r>
      <w:r>
        <w:rPr>
          <w:spacing w:val="-5"/>
          <w:w w:val="99"/>
        </w:rPr>
        <w:t> </w:t>
      </w:r>
      <w:r>
        <w:rPr>
          <w:spacing w:val="-13"/>
        </w:rPr>
        <w:t>来现金流量应当以资产当前状况为基础、以税前口径为依据，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分析销量、价格、成本、费用、增长率等关键参数预测的合理</w:t>
      </w:r>
      <w:r>
        <w:rPr>
          <w:spacing w:val="-143"/>
        </w:rPr>
        <w:t> </w:t>
      </w:r>
      <w:r>
        <w:rPr>
          <w:spacing w:val="-143"/>
        </w:rPr>
      </w:r>
      <w:r>
        <w:rPr>
          <w:spacing w:val="-16"/>
        </w:rPr>
        <w:t>性。</w:t>
      </w:r>
      <w:r>
        <w:rPr/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资产评估专业人员需要关注以前会计期间企业预测财务数</w:t>
      </w:r>
      <w:r>
        <w:rPr>
          <w:w w:val="99"/>
        </w:rPr>
        <w:t> </w:t>
      </w:r>
      <w:r>
        <w:rPr>
          <w:spacing w:val="-13"/>
        </w:rPr>
        <w:t>据的实现情况。如果以前会计期间预测财务数据与实际实现存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在重大偏差，需要了解企业管理层识别出的导致偏差的主要原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因，关注当期预测财务数据是否充分考虑了相关因素的影响，</w:t>
      </w:r>
      <w:r>
        <w:rPr>
          <w:spacing w:val="-141"/>
        </w:rPr>
        <w:t> </w:t>
      </w:r>
      <w:r>
        <w:rPr>
          <w:spacing w:val="-141"/>
        </w:rPr>
      </w:r>
      <w:r>
        <w:rPr>
          <w:spacing w:val="-16"/>
        </w:rPr>
        <w:t>并调整了当期财务数据预测基础。</w:t>
      </w:r>
    </w:p>
    <w:p>
      <w:pPr>
        <w:pStyle w:val="BodyText"/>
        <w:spacing w:line="357" w:lineRule="auto"/>
        <w:ind w:right="26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第二十条</w:t>
      </w:r>
      <w:r>
        <w:rPr>
          <w:rFonts w:ascii="仿宋_GB2312" w:hAnsi="仿宋_GB2312" w:cs="仿宋_GB2312" w:eastAsia="仿宋_GB2312"/>
          <w:b/>
          <w:bCs/>
          <w:spacing w:val="-24"/>
        </w:rPr>
        <w:t> </w:t>
      </w:r>
      <w:r>
        <w:rPr>
          <w:spacing w:val="-5"/>
        </w:rPr>
        <w:t>资产评估专业人员应当知晓预计包含商誉资产</w:t>
      </w:r>
      <w:r>
        <w:rPr>
          <w:spacing w:val="-5"/>
          <w:w w:val="99"/>
        </w:rPr>
        <w:t> </w:t>
      </w:r>
      <w:r>
        <w:rPr>
          <w:spacing w:val="-13"/>
        </w:rPr>
        <w:t>组或资产组组合的未来现金流量不应当考虑将来可能发生的、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尚未作出承诺的重组事项或者与资产改良有关的事项，但评估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基准日已发生支出的与包含商誉资产组或资产组组合业务相关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的在建工程、开发过程中的无形资产等事项对未来现金流量的</w:t>
      </w:r>
    </w:p>
    <w:p>
      <w:pPr>
        <w:pStyle w:val="BodyText"/>
        <w:spacing w:line="357" w:lineRule="auto" w:before="205"/>
        <w:ind w:right="0" w:firstLine="0"/>
        <w:jc w:val="left"/>
      </w:pPr>
      <w:r>
        <w:rPr>
          <w:spacing w:val="-13"/>
        </w:rPr>
        <w:t>影响应当予以考虑，同时应当考虑预期为使该资产达到预定可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使用或者可销售状态发生的全部现金流出。</w:t>
      </w:r>
    </w:p>
    <w:p>
      <w:pPr>
        <w:pStyle w:val="BodyText"/>
        <w:spacing w:line="357" w:lineRule="auto"/>
        <w:ind w:right="134"/>
        <w:jc w:val="both"/>
      </w:pPr>
      <w:r>
        <w:rPr>
          <w:spacing w:val="-12"/>
        </w:rPr>
        <w:t>预计包含商誉资产组或资产组组合的未来现金流量也不应</w:t>
      </w:r>
      <w:r>
        <w:rPr>
          <w:w w:val="99"/>
        </w:rPr>
        <w:t> </w:t>
      </w:r>
      <w:r>
        <w:rPr>
          <w:spacing w:val="-13"/>
        </w:rPr>
        <w:t>当包括筹资活动产生的现金流入或者流出以及与所得税收付有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5"/>
        </w:rPr>
        <w:t>关的现金流量。</w:t>
      </w:r>
    </w:p>
    <w:p>
      <w:pPr>
        <w:pStyle w:val="BodyText"/>
        <w:spacing w:line="357" w:lineRule="auto"/>
        <w:ind w:right="100" w:firstLine="609"/>
        <w:jc w:val="both"/>
      </w:pPr>
      <w:r>
        <w:rPr>
          <w:rFonts w:ascii="仿宋_GB2312" w:hAnsi="仿宋_GB2312" w:cs="仿宋_GB2312" w:eastAsia="仿宋_GB2312"/>
          <w:b/>
          <w:bCs/>
          <w:spacing w:val="-13"/>
        </w:rPr>
        <w:t>第二十一条</w:t>
      </w:r>
      <w:r>
        <w:rPr>
          <w:rFonts w:ascii="仿宋_GB2312" w:hAnsi="仿宋_GB2312" w:cs="仿宋_GB2312" w:eastAsia="仿宋_GB2312"/>
          <w:b/>
          <w:bCs/>
          <w:spacing w:val="-16"/>
        </w:rPr>
        <w:t> </w:t>
      </w:r>
      <w:r>
        <w:rPr>
          <w:spacing w:val="-17"/>
        </w:rPr>
        <w:t>当预计未来现金流量受内部转移价格影响时，</w:t>
      </w:r>
      <w:r>
        <w:rPr>
          <w:w w:val="99"/>
        </w:rPr>
        <w:t> </w:t>
      </w:r>
      <w:r>
        <w:rPr>
          <w:spacing w:val="-13"/>
        </w:rPr>
        <w:t>资产评估专业人员需要提醒企业管理层按照在公平交易中对未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来价格的最佳估计数确定未来现金流量。</w:t>
      </w:r>
    </w:p>
    <w:p>
      <w:pPr>
        <w:pStyle w:val="BodyText"/>
        <w:spacing w:line="348" w:lineRule="auto"/>
        <w:ind w:right="135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第二十二条</w:t>
      </w:r>
      <w:r>
        <w:rPr>
          <w:rFonts w:ascii="仿宋_GB2312" w:hAnsi="仿宋_GB2312" w:cs="仿宋_GB2312" w:eastAsia="仿宋_GB2312"/>
          <w:b/>
          <w:bCs/>
          <w:spacing w:val="-27"/>
        </w:rPr>
        <w:t> </w:t>
      </w:r>
      <w:r>
        <w:rPr>
          <w:spacing w:val="-5"/>
        </w:rPr>
        <w:t>资产评估专业人员取得的经企业管理层批准</w:t>
      </w:r>
      <w:r>
        <w:rPr>
          <w:spacing w:val="-5"/>
          <w:w w:val="99"/>
        </w:rPr>
        <w:t> </w:t>
      </w:r>
      <w:r>
        <w:rPr>
          <w:spacing w:val="-17"/>
        </w:rPr>
        <w:t>的预计未来现金流量详细预测期通常涵盖 </w:t>
      </w:r>
      <w:r>
        <w:rPr>
          <w:rFonts w:ascii="Times New Roman" w:hAnsi="Times New Roman" w:cs="Times New Roman" w:eastAsia="Times New Roman"/>
        </w:rPr>
        <w:t>5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spacing w:val="-15"/>
        </w:rPr>
        <w:t>年，如涵盖更长期</w:t>
      </w:r>
      <w:r>
        <w:rPr>
          <w:w w:val="99"/>
        </w:rPr>
        <w:t> </w:t>
      </w:r>
      <w:r>
        <w:rPr>
          <w:spacing w:val="-17"/>
        </w:rPr>
        <w:t>间，应当取得企业管理层的合理性说明。</w:t>
      </w:r>
    </w:p>
    <w:p>
      <w:pPr>
        <w:pStyle w:val="BodyText"/>
        <w:spacing w:line="357" w:lineRule="auto" w:before="61"/>
        <w:ind w:right="134"/>
        <w:jc w:val="both"/>
      </w:pPr>
      <w:r>
        <w:rPr>
          <w:spacing w:val="-12"/>
        </w:rPr>
        <w:t>预计未来现金流量收益期通常以包含商誉资产组的核心资</w:t>
      </w:r>
      <w:r>
        <w:rPr>
          <w:w w:val="99"/>
        </w:rPr>
        <w:t> </w:t>
      </w:r>
      <w:r>
        <w:rPr>
          <w:spacing w:val="-13"/>
        </w:rPr>
        <w:t>产（商誉）为依据确定。商誉未来收益期不可确定，但包含商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誉资产组或资产组组合未来经营期限受法律、协议等因素影响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的，如矿业企业资产组、签订经营期限企业资产组等，应当以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法律、协议约定的年限为基础计算确定预计未来现金流量的收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2"/>
        </w:rPr>
        <w:t>益期。</w:t>
      </w:r>
    </w:p>
    <w:p>
      <w:pPr>
        <w:pStyle w:val="BodyText"/>
        <w:spacing w:line="357" w:lineRule="auto"/>
        <w:ind w:right="134"/>
        <w:jc w:val="both"/>
      </w:pPr>
      <w:r>
        <w:rPr>
          <w:spacing w:val="-12"/>
        </w:rPr>
        <w:t>预计未来现金流量资本性支出应当以维持包含商誉资产组</w:t>
      </w:r>
      <w:r>
        <w:rPr>
          <w:w w:val="99"/>
        </w:rPr>
        <w:t> </w:t>
      </w:r>
      <w:r>
        <w:rPr>
          <w:spacing w:val="-13"/>
        </w:rPr>
        <w:t>或资产组组合正常运转或原定正常产出水平为基础确定。同时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商誉相关资产组包括与其业务相关的已发生支出的在建工程或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者开发过程中的无形资产等事项时，应当将为使该资产达到预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640"/>
        </w:sectPr>
      </w:pPr>
    </w:p>
    <w:p>
      <w:pPr>
        <w:pStyle w:val="BodyText"/>
        <w:spacing w:line="392" w:lineRule="exact" w:before="0"/>
        <w:ind w:left="727" w:right="0" w:hanging="610"/>
        <w:jc w:val="left"/>
      </w:pPr>
      <w:r>
        <w:rPr>
          <w:spacing w:val="-17"/>
        </w:rPr>
        <w:t>定可使用或可销售状态发生的现金流出作为资本性支出。</w:t>
      </w:r>
    </w:p>
    <w:p>
      <w:pPr>
        <w:pStyle w:val="BodyText"/>
        <w:spacing w:line="357" w:lineRule="auto" w:before="205"/>
        <w:ind w:right="12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第二十三条</w:t>
      </w:r>
      <w:r>
        <w:rPr>
          <w:rFonts w:ascii="仿宋_GB2312" w:hAnsi="仿宋_GB2312" w:cs="仿宋_GB2312" w:eastAsia="仿宋_GB2312"/>
          <w:b/>
          <w:bCs/>
          <w:spacing w:val="-28"/>
        </w:rPr>
        <w:t> </w:t>
      </w:r>
      <w:r>
        <w:rPr>
          <w:spacing w:val="-5"/>
        </w:rPr>
        <w:t>资产评估专业人员应当知晓详细预测期之后</w:t>
      </w:r>
      <w:r>
        <w:rPr>
          <w:spacing w:val="-5"/>
          <w:w w:val="99"/>
        </w:rPr>
        <w:t> </w:t>
      </w:r>
      <w:r>
        <w:rPr>
          <w:spacing w:val="-13"/>
        </w:rPr>
        <w:t>预计现金流量可以保持稳定的或递减的增长率，如果企业管理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层提供证据表明递增的增长率是合理的，可以以递增的增长率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为基础。</w:t>
      </w:r>
    </w:p>
    <w:p>
      <w:pPr>
        <w:pStyle w:val="BodyText"/>
        <w:spacing w:line="357" w:lineRule="auto" w:before="49"/>
        <w:ind w:right="114"/>
        <w:jc w:val="both"/>
      </w:pPr>
      <w:r>
        <w:rPr>
          <w:spacing w:val="-12"/>
        </w:rPr>
        <w:t>详细预测期之后增长率，不应当超过企业经营的产品、市</w:t>
      </w:r>
      <w:r>
        <w:rPr>
          <w:w w:val="99"/>
        </w:rPr>
        <w:t> </w:t>
      </w:r>
      <w:r>
        <w:rPr>
          <w:spacing w:val="-13"/>
        </w:rPr>
        <w:t>场、所处的行业或者所在国家或者地区的长期平均增长率，或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者包含商誉资产组或资产组组合所处市场的长期平均增长率。</w:t>
      </w:r>
    </w:p>
    <w:p>
      <w:pPr>
        <w:pStyle w:val="BodyText"/>
        <w:spacing w:line="357" w:lineRule="auto"/>
        <w:ind w:right="122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第二十四条</w:t>
      </w:r>
      <w:r>
        <w:rPr>
          <w:rFonts w:ascii="仿宋_GB2312" w:hAnsi="仿宋_GB2312" w:cs="仿宋_GB2312" w:eastAsia="仿宋_GB2312"/>
          <w:b/>
          <w:bCs/>
          <w:spacing w:val="-28"/>
        </w:rPr>
        <w:t> </w:t>
      </w:r>
      <w:r>
        <w:rPr>
          <w:spacing w:val="-5"/>
        </w:rPr>
        <w:t>折现率的确定应当以该资产的市场利率为依</w:t>
      </w:r>
      <w:r>
        <w:rPr>
          <w:spacing w:val="-5"/>
          <w:w w:val="99"/>
        </w:rPr>
        <w:t> </w:t>
      </w:r>
      <w:r>
        <w:rPr>
          <w:spacing w:val="-13"/>
        </w:rPr>
        <w:t>据。该折现率是企业作为市场参与者在购置或者投资资产时所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要求的必要报酬率。</w:t>
      </w:r>
    </w:p>
    <w:p>
      <w:pPr>
        <w:pStyle w:val="BodyText"/>
        <w:spacing w:line="357" w:lineRule="auto" w:before="49"/>
        <w:ind w:right="114"/>
        <w:jc w:val="both"/>
      </w:pPr>
      <w:r>
        <w:rPr>
          <w:spacing w:val="-12"/>
        </w:rPr>
        <w:t>无法从市场获得的，可以使用替代利率估计折现率。替代</w:t>
      </w:r>
      <w:r>
        <w:rPr>
          <w:w w:val="99"/>
        </w:rPr>
        <w:t> </w:t>
      </w:r>
      <w:r>
        <w:rPr>
          <w:spacing w:val="-13"/>
        </w:rPr>
        <w:t>利率可以根据加权平均资金成本或者其他相关市场利率作适当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5"/>
        </w:rPr>
        <w:t>调整后确定。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对折现率的计算，资产评估专业人员应当关注是否与相应</w:t>
      </w:r>
      <w:r>
        <w:rPr>
          <w:w w:val="99"/>
        </w:rPr>
        <w:t> </w:t>
      </w:r>
      <w:r>
        <w:rPr>
          <w:spacing w:val="-13"/>
        </w:rPr>
        <w:t>的宏观、行业、地域、特定市场、特定市场主体的风险因素相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2"/>
        </w:rPr>
        <w:t>匹配。</w:t>
      </w:r>
    </w:p>
    <w:p>
      <w:pPr>
        <w:pStyle w:val="BodyText"/>
        <w:spacing w:line="357" w:lineRule="auto"/>
        <w:ind w:right="114"/>
        <w:jc w:val="both"/>
      </w:pPr>
      <w:r>
        <w:rPr>
          <w:spacing w:val="-12"/>
        </w:rPr>
        <w:t>在计算预计未来现金流量现值时，如果用于计算折现率的</w:t>
      </w:r>
      <w:r>
        <w:rPr>
          <w:w w:val="99"/>
        </w:rPr>
        <w:t> </w:t>
      </w:r>
      <w:r>
        <w:rPr>
          <w:spacing w:val="-13"/>
        </w:rPr>
        <w:t>基础是税后的，应当将其调整为税前的折现率。但计算公允价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7"/>
        </w:rPr>
        <w:t>值时，资产评估专业人员应当知晓可以采用税后折现率。</w:t>
      </w:r>
    </w:p>
    <w:p>
      <w:pPr>
        <w:pStyle w:val="BodyText"/>
        <w:spacing w:line="357" w:lineRule="auto"/>
        <w:ind w:right="118" w:firstLine="609"/>
        <w:jc w:val="both"/>
      </w:pPr>
      <w:r>
        <w:rPr>
          <w:rFonts w:ascii="仿宋_GB2312" w:hAnsi="仿宋_GB2312" w:cs="仿宋_GB2312" w:eastAsia="仿宋_GB2312"/>
          <w:b/>
          <w:bCs/>
          <w:spacing w:val="-13"/>
        </w:rPr>
        <w:t>第二十五条</w:t>
      </w:r>
      <w:r>
        <w:rPr>
          <w:rFonts w:ascii="仿宋_GB2312" w:hAnsi="仿宋_GB2312" w:cs="仿宋_GB2312" w:eastAsia="仿宋_GB2312"/>
          <w:b/>
          <w:bCs/>
          <w:spacing w:val="-15"/>
        </w:rPr>
        <w:t> </w:t>
      </w:r>
      <w:r>
        <w:rPr>
          <w:spacing w:val="-19"/>
        </w:rPr>
        <w:t>预计未来现金流量涉及外币的，资产评估专业</w:t>
      </w:r>
      <w:r>
        <w:rPr>
          <w:w w:val="99"/>
        </w:rPr>
        <w:t> </w:t>
      </w:r>
      <w:r>
        <w:rPr>
          <w:spacing w:val="-13"/>
        </w:rPr>
        <w:t>人员需要以包含商誉资产组或资产组组合所产生的未来现金流</w:t>
      </w:r>
    </w:p>
    <w:p>
      <w:pPr>
        <w:spacing w:after="0" w:line="357" w:lineRule="auto"/>
        <w:jc w:val="both"/>
        <w:sectPr>
          <w:pgSz w:w="11910" w:h="16840"/>
          <w:pgMar w:header="0" w:footer="1114" w:top="1500" w:bottom="1300" w:left="1680" w:right="1660"/>
        </w:sectPr>
      </w:pPr>
    </w:p>
    <w:p>
      <w:pPr>
        <w:pStyle w:val="BodyText"/>
        <w:spacing w:line="392" w:lineRule="exact" w:before="0"/>
        <w:ind w:right="0" w:firstLine="0"/>
        <w:jc w:val="left"/>
      </w:pPr>
      <w:r>
        <w:rPr>
          <w:spacing w:val="-13"/>
        </w:rPr>
        <w:t>量的结算货币为基础，按照该货币适用的折现率计算现值，然</w:t>
      </w:r>
    </w:p>
    <w:p>
      <w:pPr>
        <w:pStyle w:val="BodyText"/>
        <w:spacing w:line="240" w:lineRule="auto" w:before="205"/>
        <w:ind w:right="0" w:firstLine="0"/>
        <w:jc w:val="left"/>
      </w:pPr>
      <w:r>
        <w:rPr>
          <w:spacing w:val="-17"/>
        </w:rPr>
        <w:t>后将该外币现值按照评估基准日的即期汇率进行折算。</w:t>
      </w:r>
    </w:p>
    <w:p>
      <w:pPr>
        <w:spacing w:line="240" w:lineRule="auto" w:before="7"/>
        <w:rPr>
          <w:rFonts w:ascii="仿宋_GB2312" w:hAnsi="仿宋_GB2312" w:cs="仿宋_GB2312" w:eastAsia="仿宋_GB2312"/>
          <w:sz w:val="39"/>
          <w:szCs w:val="39"/>
        </w:rPr>
      </w:pPr>
    </w:p>
    <w:p>
      <w:pPr>
        <w:pStyle w:val="BodyText"/>
        <w:tabs>
          <w:tab w:pos="1211" w:val="left" w:leader="none"/>
        </w:tabs>
        <w:spacing w:line="240" w:lineRule="auto" w:before="0"/>
        <w:ind w:left="0" w:right="139" w:firstLine="0"/>
        <w:jc w:val="center"/>
        <w:rPr>
          <w:rFonts w:ascii="黑体" w:hAnsi="黑体" w:cs="黑体" w:eastAsia="黑体"/>
        </w:rPr>
      </w:pPr>
      <w:r>
        <w:rPr>
          <w:rFonts w:ascii="黑体" w:hAnsi="黑体" w:cs="黑体" w:eastAsia="黑体"/>
          <w:spacing w:val="-12"/>
        </w:rPr>
        <w:t>第七章</w:t>
        <w:tab/>
      </w:r>
      <w:r>
        <w:rPr>
          <w:rFonts w:ascii="黑体" w:hAnsi="黑体" w:cs="黑体" w:eastAsia="黑体"/>
          <w:spacing w:val="-13"/>
        </w:rPr>
        <w:t>报告披露</w:t>
      </w:r>
    </w:p>
    <w:p>
      <w:pPr>
        <w:spacing w:line="240" w:lineRule="auto" w:before="7"/>
        <w:rPr>
          <w:rFonts w:ascii="黑体" w:hAnsi="黑体" w:cs="黑体" w:eastAsia="黑体"/>
          <w:sz w:val="39"/>
          <w:szCs w:val="39"/>
        </w:rPr>
      </w:pPr>
    </w:p>
    <w:p>
      <w:pPr>
        <w:pStyle w:val="BodyText"/>
        <w:spacing w:line="357" w:lineRule="auto" w:before="0"/>
        <w:ind w:right="260" w:firstLine="609"/>
        <w:jc w:val="both"/>
      </w:pPr>
      <w:r>
        <w:rPr>
          <w:rFonts w:ascii="仿宋_GB2312" w:hAnsi="仿宋_GB2312" w:cs="仿宋_GB2312" w:eastAsia="仿宋_GB2312"/>
          <w:b/>
          <w:bCs/>
          <w:spacing w:val="-3"/>
        </w:rPr>
        <w:t>第二十六条</w:t>
      </w:r>
      <w:r>
        <w:rPr>
          <w:rFonts w:ascii="仿宋_GB2312" w:hAnsi="仿宋_GB2312" w:cs="仿宋_GB2312" w:eastAsia="仿宋_GB2312"/>
          <w:b/>
          <w:bCs/>
          <w:spacing w:val="-25"/>
        </w:rPr>
        <w:t> </w:t>
      </w:r>
      <w:r>
        <w:rPr>
          <w:spacing w:val="-5"/>
        </w:rPr>
        <w:t>资产评估报告应当披露与商誉减值测试相关</w:t>
      </w:r>
      <w:r>
        <w:rPr>
          <w:spacing w:val="-5"/>
          <w:w w:val="99"/>
        </w:rPr>
        <w:t> </w:t>
      </w:r>
      <w:r>
        <w:rPr>
          <w:spacing w:val="-13"/>
        </w:rPr>
        <w:t>的评估要素、关键评估参数以及其他对评估结论有重要影响的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信息，以使资产评估报告使用人能够正确理解评估结论。通常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6"/>
        </w:rPr>
        <w:t>重点披露下列内容：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（一）企业委托评估目的，应当与业务委托合同约定服务</w:t>
      </w:r>
      <w:r>
        <w:rPr>
          <w:w w:val="99"/>
        </w:rPr>
        <w:t> </w:t>
      </w:r>
      <w:r>
        <w:rPr>
          <w:spacing w:val="-14"/>
        </w:rPr>
        <w:t>内容一致；</w:t>
      </w:r>
    </w:p>
    <w:p>
      <w:pPr>
        <w:pStyle w:val="BodyText"/>
        <w:spacing w:line="357" w:lineRule="auto"/>
        <w:ind w:right="254"/>
        <w:jc w:val="both"/>
      </w:pPr>
      <w:r>
        <w:rPr>
          <w:spacing w:val="-12"/>
        </w:rPr>
        <w:t>（二）评估对象和评估范围的具体描述，包括包含商誉资</w:t>
      </w:r>
      <w:r>
        <w:rPr>
          <w:w w:val="99"/>
        </w:rPr>
        <w:t> </w:t>
      </w:r>
      <w:r>
        <w:rPr>
          <w:spacing w:val="-17"/>
        </w:rPr>
        <w:t>产组或资产组组合构成、账面价值等；</w:t>
      </w:r>
    </w:p>
    <w:p>
      <w:pPr>
        <w:pStyle w:val="BodyText"/>
        <w:spacing w:line="240" w:lineRule="auto"/>
        <w:ind w:left="725" w:right="0" w:firstLine="0"/>
        <w:jc w:val="left"/>
      </w:pPr>
      <w:r>
        <w:rPr>
          <w:spacing w:val="-16"/>
        </w:rPr>
        <w:t>（三）价值类型的定义；</w:t>
      </w:r>
    </w:p>
    <w:p>
      <w:pPr>
        <w:pStyle w:val="BodyText"/>
        <w:spacing w:line="357" w:lineRule="auto" w:before="205"/>
        <w:ind w:right="254"/>
        <w:jc w:val="both"/>
      </w:pPr>
      <w:r>
        <w:rPr>
          <w:spacing w:val="-12"/>
        </w:rPr>
        <w:t>（四）评估方法的选择、具体测算思路，以及本次评估方</w:t>
      </w:r>
      <w:r>
        <w:rPr>
          <w:w w:val="99"/>
        </w:rPr>
        <w:t> </w:t>
      </w:r>
      <w:r>
        <w:rPr>
          <w:spacing w:val="-13"/>
        </w:rPr>
        <w:t>法与以前会计期间选取的评估方法是否一致，如果不一致，应</w:t>
      </w:r>
      <w:r>
        <w:rPr>
          <w:spacing w:val="-144"/>
        </w:rPr>
        <w:t> </w:t>
      </w:r>
      <w:r>
        <w:rPr>
          <w:spacing w:val="-144"/>
        </w:rPr>
      </w:r>
      <w:r>
        <w:rPr>
          <w:spacing w:val="-16"/>
        </w:rPr>
        <w:t>当披露评估方法变更的原因；</w:t>
      </w:r>
    </w:p>
    <w:p>
      <w:pPr>
        <w:pStyle w:val="BodyText"/>
        <w:spacing w:line="240" w:lineRule="auto" w:before="49"/>
        <w:ind w:left="725" w:right="0" w:firstLine="0"/>
        <w:jc w:val="left"/>
      </w:pPr>
      <w:r>
        <w:rPr>
          <w:spacing w:val="-16"/>
        </w:rPr>
        <w:t>（五）重要评估假设及前提；</w:t>
      </w:r>
    </w:p>
    <w:p>
      <w:pPr>
        <w:pStyle w:val="BodyText"/>
        <w:spacing w:line="357" w:lineRule="auto" w:before="205"/>
        <w:ind w:right="254"/>
        <w:jc w:val="both"/>
      </w:pPr>
      <w:r>
        <w:rPr>
          <w:spacing w:val="-12"/>
        </w:rPr>
        <w:t>（六）关键评估参数测算依据，包括逻辑计算过程、重要</w:t>
      </w:r>
      <w:r>
        <w:rPr>
          <w:w w:val="99"/>
        </w:rPr>
        <w:t> </w:t>
      </w:r>
      <w:r>
        <w:rPr>
          <w:spacing w:val="-16"/>
        </w:rPr>
        <w:t>评估数据获取来源等；</w:t>
      </w:r>
    </w:p>
    <w:p>
      <w:pPr>
        <w:pStyle w:val="BodyText"/>
        <w:spacing w:line="357" w:lineRule="auto"/>
        <w:ind w:right="0"/>
        <w:jc w:val="left"/>
      </w:pPr>
      <w:r>
        <w:rPr>
          <w:spacing w:val="-18"/>
        </w:rPr>
        <w:t>（七）对评估结论有重要影响的事项，包括评估程序受限、</w:t>
      </w:r>
      <w:r>
        <w:rPr>
          <w:w w:val="99"/>
        </w:rPr>
        <w:t> </w:t>
      </w:r>
      <w:r>
        <w:rPr>
          <w:spacing w:val="-17"/>
        </w:rPr>
        <w:t>可能对评估结论产生重要影响的瑕疵事项等。</w:t>
      </w:r>
    </w:p>
    <w:p>
      <w:pPr>
        <w:spacing w:before="49"/>
        <w:ind w:left="727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pacing w:val="-3"/>
          <w:sz w:val="32"/>
          <w:szCs w:val="32"/>
        </w:rPr>
        <w:t>第二十七条</w:t>
      </w:r>
      <w:r>
        <w:rPr>
          <w:rFonts w:ascii="仿宋_GB2312" w:hAnsi="仿宋_GB2312" w:cs="仿宋_GB2312" w:eastAsia="仿宋_GB2312"/>
          <w:b/>
          <w:bCs/>
          <w:spacing w:val="-30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-5"/>
          <w:sz w:val="32"/>
          <w:szCs w:val="32"/>
        </w:rPr>
        <w:t>资产评估专业人员应当关注评估基准日至资</w:t>
      </w:r>
      <w:r>
        <w:rPr>
          <w:rFonts w:ascii="仿宋_GB2312" w:hAnsi="仿宋_GB2312" w:cs="仿宋_GB2312" w:eastAsia="仿宋_GB2312"/>
          <w:sz w:val="32"/>
          <w:szCs w:val="32"/>
        </w:rPr>
      </w:r>
    </w:p>
    <w:p>
      <w:pPr>
        <w:spacing w:after="0"/>
        <w:jc w:val="left"/>
        <w:rPr>
          <w:rFonts w:ascii="仿宋_GB2312" w:hAnsi="仿宋_GB2312" w:cs="仿宋_GB2312" w:eastAsia="仿宋_GB2312"/>
          <w:sz w:val="32"/>
          <w:szCs w:val="32"/>
        </w:rPr>
        <w:sectPr>
          <w:pgSz w:w="11910" w:h="16840"/>
          <w:pgMar w:header="0" w:footer="1114" w:top="1500" w:bottom="1300" w:left="1680" w:right="1520"/>
        </w:sectPr>
      </w:pPr>
    </w:p>
    <w:p>
      <w:pPr>
        <w:pStyle w:val="BodyText"/>
        <w:spacing w:line="392" w:lineRule="exact" w:before="0"/>
        <w:ind w:right="0" w:firstLine="0"/>
        <w:jc w:val="both"/>
      </w:pPr>
      <w:r>
        <w:rPr>
          <w:spacing w:val="-13"/>
        </w:rPr>
        <w:t>产评估报告日之间发生的与评估对象相关的重大期后事项，包</w:t>
      </w:r>
    </w:p>
    <w:p>
      <w:pPr>
        <w:pStyle w:val="BodyText"/>
        <w:spacing w:line="357" w:lineRule="auto" w:before="205"/>
        <w:ind w:right="122" w:firstLine="0"/>
        <w:jc w:val="both"/>
      </w:pPr>
      <w:r>
        <w:rPr>
          <w:spacing w:val="-13"/>
        </w:rPr>
        <w:t>括内外部环境的重大变化、重大诉讼与仲裁的最新进展等，并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3"/>
        </w:rPr>
        <w:t>在资产评估报告特别事项说明中披露该事项及其对评估结论的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2"/>
        </w:rPr>
        <w:t>影响。</w:t>
      </w:r>
    </w:p>
    <w:p>
      <w:pPr>
        <w:pStyle w:val="BodyText"/>
        <w:spacing w:line="357" w:lineRule="auto"/>
        <w:ind w:right="113"/>
        <w:jc w:val="both"/>
      </w:pPr>
      <w:r>
        <w:rPr>
          <w:spacing w:val="-12"/>
        </w:rPr>
        <w:t>资产评估专业人员需要根据会计准则关于资产负债表日后</w:t>
      </w:r>
      <w:r>
        <w:rPr>
          <w:w w:val="99"/>
        </w:rPr>
        <w:t> </w:t>
      </w:r>
      <w:r>
        <w:rPr>
          <w:spacing w:val="-13"/>
        </w:rPr>
        <w:t>事项的调整事项和非调整事项的规范内容，考虑对评估对象可</w:t>
      </w:r>
      <w:r>
        <w:rPr>
          <w:spacing w:val="-145"/>
        </w:rPr>
        <w:t> </w:t>
      </w:r>
      <w:r>
        <w:rPr>
          <w:spacing w:val="-145"/>
        </w:rPr>
      </w:r>
      <w:r>
        <w:rPr>
          <w:spacing w:val="-15"/>
        </w:rPr>
        <w:t>收回金额的影响。</w:t>
      </w:r>
    </w:p>
    <w:sectPr>
      <w:pgSz w:w="11910" w:h="16840"/>
      <w:pgMar w:header="0" w:footer="1114" w:top="1500" w:bottom="1300" w:left="168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  <w:font w:name="华文中宋">
    <w:altName w:val="华文中宋"/>
    <w:charset w:val="86"/>
    <w:family w:val="auto"/>
    <w:pitch w:val="variable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62.540009pt;margin-top:775.214355pt;width:44.1pt;height:16.05pt;mso-position-horizontal-relative:page;mso-position-vertical-relative:page;z-index:-5464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宋体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95.984001pt;margin-top:775.214355pt;width:43.95pt;height:16.05pt;mso-position-horizontal-relative:page;mso-position-vertical-relative:page;z-index:-5440" type="#_x0000_t202" filled="false" stroked="false">
          <v:textbox inset="0,0,0,0">
            <w:txbxContent>
              <w:p>
                <w:pPr>
                  <w:spacing w:line="30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8"/>
                    <w:szCs w:val="28"/>
                  </w:rPr>
                </w:pPr>
                <w:r>
                  <w:rPr>
                    <w:rFonts w:ascii="宋体"/>
                    <w:w w:val="100"/>
                    <w:sz w:val="28"/>
                  </w:rPr>
                  <w:t>-</w:t>
                </w:r>
                <w:r>
                  <w:rPr>
                    <w:rFonts w:ascii="宋体"/>
                    <w:spacing w:val="-3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</w:r>
                <w:r>
                  <w:rPr/>
                  <w:fldChar w:fldCharType="begin"/>
                </w:r>
                <w:r>
                  <w:rPr>
                    <w:rFonts w:ascii="宋体"/>
                    <w:w w:val="100"/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宋体"/>
                    <w:spacing w:val="-2"/>
                    <w:sz w:val="28"/>
                  </w:rPr>
                  <w:t> </w:t>
                </w:r>
                <w:r>
                  <w:rPr>
                    <w:rFonts w:ascii="宋体"/>
                    <w:w w:val="100"/>
                    <w:sz w:val="28"/>
                  </w:rPr>
                  <w:t>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8"/>
      <w:ind w:left="118" w:firstLine="607"/>
    </w:pPr>
    <w:rPr>
      <w:rFonts w:ascii="仿宋_GB2312" w:hAnsi="仿宋_GB2312" w:eastAsia="仿宋_GB2312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李普</dc:creator>
  <dcterms:created xsi:type="dcterms:W3CDTF">2021-01-04T18:19:51Z</dcterms:created>
  <dcterms:modified xsi:type="dcterms:W3CDTF">2021-01-04T18:19:51Z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2021-01-04T00:00:00Z</vt:filetime>
  </property>
</Properties>
</file>